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3C" w:rsidRDefault="00260B3C" w:rsidP="00454562">
      <w:pPr>
        <w:spacing w:before="100" w:beforeAutospacing="1" w:after="100" w:afterAutospacing="1" w:line="240" w:lineRule="auto"/>
        <w:rPr>
          <w:rFonts w:ascii="Times New Roman" w:eastAsia="Times New Roman" w:hAnsi="Times New Roman" w:cs="Times New Roman"/>
          <w:b/>
          <w:sz w:val="24"/>
          <w:szCs w:val="24"/>
          <w:lang w:eastAsia="es-ES"/>
        </w:rPr>
      </w:pPr>
    </w:p>
    <w:p w:rsidR="00B231D0" w:rsidRPr="00BE6B48" w:rsidRDefault="00BE6B48" w:rsidP="00B231D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32"/>
          <w:szCs w:val="32"/>
          <w:lang w:eastAsia="es-ES"/>
        </w:rPr>
      </w:pPr>
      <w:r>
        <w:rPr>
          <w:rFonts w:ascii="Times New Roman" w:eastAsia="Times New Roman" w:hAnsi="Times New Roman" w:cs="Times New Roman"/>
          <w:b/>
          <w:sz w:val="32"/>
          <w:szCs w:val="32"/>
          <w:lang w:eastAsia="es-ES"/>
        </w:rPr>
        <w:t>COMENTARIO CONVENIO</w:t>
      </w:r>
      <w:r w:rsidR="00B231D0" w:rsidRPr="00BE6B48">
        <w:rPr>
          <w:rFonts w:ascii="Times New Roman" w:eastAsia="Times New Roman" w:hAnsi="Times New Roman" w:cs="Times New Roman"/>
          <w:b/>
          <w:sz w:val="32"/>
          <w:szCs w:val="32"/>
          <w:lang w:eastAsia="es-ES"/>
        </w:rPr>
        <w:t xml:space="preserve"> FARMACIAS Y HERBORISTERIAS</w:t>
      </w:r>
      <w:r w:rsidRPr="00BE6B48">
        <w:rPr>
          <w:rFonts w:ascii="Times New Roman" w:eastAsia="Times New Roman" w:hAnsi="Times New Roman" w:cs="Times New Roman"/>
          <w:b/>
          <w:sz w:val="32"/>
          <w:szCs w:val="32"/>
          <w:lang w:eastAsia="es-ES"/>
        </w:rPr>
        <w:t xml:space="preserve"> RONDA 2018</w:t>
      </w:r>
    </w:p>
    <w:p w:rsidR="007568DA" w:rsidRPr="0006263D" w:rsidRDefault="007568DA" w:rsidP="00454562">
      <w:pPr>
        <w:spacing w:before="100" w:beforeAutospacing="1" w:after="100" w:afterAutospacing="1" w:line="240" w:lineRule="auto"/>
        <w:rPr>
          <w:rFonts w:ascii="Times New Roman" w:eastAsia="Times New Roman" w:hAnsi="Times New Roman" w:cs="Times New Roman"/>
          <w:sz w:val="24"/>
          <w:szCs w:val="24"/>
          <w:lang w:eastAsia="es-ES"/>
        </w:rPr>
      </w:pPr>
      <w:r w:rsidRPr="00CA26D9">
        <w:rPr>
          <w:rFonts w:ascii="Times New Roman" w:eastAsia="Times New Roman" w:hAnsi="Times New Roman" w:cs="Times New Roman"/>
          <w:sz w:val="28"/>
          <w:szCs w:val="28"/>
          <w:lang w:eastAsia="es-ES"/>
        </w:rPr>
        <w:t>Estimados</w:t>
      </w:r>
      <w:r w:rsidR="004B308C">
        <w:rPr>
          <w:rFonts w:ascii="Times New Roman" w:eastAsia="Times New Roman" w:hAnsi="Times New Roman" w:cs="Times New Roman"/>
          <w:sz w:val="28"/>
          <w:szCs w:val="28"/>
          <w:lang w:eastAsia="es-ES"/>
        </w:rPr>
        <w:t xml:space="preserve"> socios</w:t>
      </w:r>
      <w:r w:rsidRPr="00CA26D9">
        <w:rPr>
          <w:rFonts w:ascii="Times New Roman" w:eastAsia="Times New Roman" w:hAnsi="Times New Roman" w:cs="Times New Roman"/>
          <w:sz w:val="28"/>
          <w:szCs w:val="28"/>
          <w:lang w:eastAsia="es-ES"/>
        </w:rPr>
        <w:t xml:space="preserve">: luego de un extenso y a la vez fructífero periodo de negociación, nos es grato enviarles el convenio final aprobado </w:t>
      </w:r>
      <w:r w:rsidR="0006263D" w:rsidRPr="00CA26D9">
        <w:rPr>
          <w:rFonts w:ascii="Times New Roman" w:eastAsia="Times New Roman" w:hAnsi="Times New Roman" w:cs="Times New Roman"/>
          <w:sz w:val="28"/>
          <w:szCs w:val="28"/>
          <w:lang w:eastAsia="es-ES"/>
        </w:rPr>
        <w:t xml:space="preserve">con el beneplácito de </w:t>
      </w:r>
      <w:r w:rsidRPr="00CA26D9">
        <w:rPr>
          <w:rFonts w:ascii="Times New Roman" w:eastAsia="Times New Roman" w:hAnsi="Times New Roman" w:cs="Times New Roman"/>
          <w:sz w:val="28"/>
          <w:szCs w:val="28"/>
          <w:lang w:eastAsia="es-ES"/>
        </w:rPr>
        <w:t>todas las partes</w:t>
      </w:r>
      <w:r w:rsidR="009E596F">
        <w:rPr>
          <w:rFonts w:ascii="Times New Roman" w:eastAsia="Times New Roman" w:hAnsi="Times New Roman" w:cs="Times New Roman"/>
          <w:sz w:val="28"/>
          <w:szCs w:val="28"/>
          <w:lang w:eastAsia="es-ES"/>
        </w:rPr>
        <w:t xml:space="preserve">, </w:t>
      </w:r>
      <w:bookmarkStart w:id="0" w:name="_GoBack"/>
      <w:bookmarkEnd w:id="0"/>
      <w:r w:rsidR="0006263D" w:rsidRPr="00CA26D9">
        <w:rPr>
          <w:rFonts w:ascii="Times New Roman" w:eastAsia="Times New Roman" w:hAnsi="Times New Roman" w:cs="Times New Roman"/>
          <w:sz w:val="28"/>
          <w:szCs w:val="28"/>
          <w:lang w:eastAsia="es-ES"/>
        </w:rPr>
        <w:t xml:space="preserve">comentamos a continuación </w:t>
      </w:r>
      <w:r w:rsidR="004B308C">
        <w:rPr>
          <w:rFonts w:ascii="Times New Roman" w:eastAsia="Times New Roman" w:hAnsi="Times New Roman" w:cs="Times New Roman"/>
          <w:sz w:val="28"/>
          <w:szCs w:val="28"/>
          <w:lang w:eastAsia="es-ES"/>
        </w:rPr>
        <w:t>los aspectos má</w:t>
      </w:r>
      <w:r w:rsidR="0006263D" w:rsidRPr="00CA26D9">
        <w:rPr>
          <w:rFonts w:ascii="Times New Roman" w:eastAsia="Times New Roman" w:hAnsi="Times New Roman" w:cs="Times New Roman"/>
          <w:sz w:val="28"/>
          <w:szCs w:val="28"/>
          <w:lang w:eastAsia="es-ES"/>
        </w:rPr>
        <w:t>s relevantes del mismo</w:t>
      </w:r>
      <w:r w:rsidR="0006263D">
        <w:rPr>
          <w:rFonts w:ascii="Times New Roman" w:eastAsia="Times New Roman" w:hAnsi="Times New Roman" w:cs="Times New Roman"/>
          <w:sz w:val="24"/>
          <w:szCs w:val="24"/>
          <w:lang w:eastAsia="es-ES"/>
        </w:rPr>
        <w:t xml:space="preserve">: </w:t>
      </w:r>
    </w:p>
    <w:p w:rsidR="00454562" w:rsidRPr="00454562" w:rsidRDefault="00DD169D" w:rsidP="00454562">
      <w:pPr>
        <w:spacing w:before="100" w:beforeAutospacing="1" w:after="100" w:afterAutospacing="1" w:line="240" w:lineRule="auto"/>
        <w:rPr>
          <w:rFonts w:ascii="Times New Roman" w:eastAsia="Times New Roman" w:hAnsi="Times New Roman" w:cs="Times New Roman"/>
          <w:sz w:val="24"/>
          <w:szCs w:val="24"/>
          <w:lang w:eastAsia="es-ES"/>
        </w:rPr>
      </w:pPr>
      <w:r w:rsidRPr="00DE75D3">
        <w:rPr>
          <w:rFonts w:ascii="Times New Roman" w:eastAsia="Times New Roman" w:hAnsi="Times New Roman" w:cs="Times New Roman"/>
          <w:b/>
          <w:sz w:val="24"/>
          <w:szCs w:val="24"/>
          <w:lang w:eastAsia="es-ES"/>
        </w:rPr>
        <w:t xml:space="preserve">1) </w:t>
      </w:r>
      <w:r w:rsidRPr="00DE75D3">
        <w:rPr>
          <w:rFonts w:ascii="Times New Roman" w:eastAsia="Times New Roman" w:hAnsi="Times New Roman" w:cs="Times New Roman"/>
          <w:b/>
          <w:sz w:val="24"/>
          <w:szCs w:val="24"/>
          <w:u w:val="single"/>
          <w:lang w:eastAsia="es-ES"/>
        </w:rPr>
        <w:t>PLAZO</w:t>
      </w:r>
      <w:r w:rsidR="001B4BD5">
        <w:rPr>
          <w:rFonts w:ascii="Times New Roman" w:eastAsia="Times New Roman" w:hAnsi="Times New Roman" w:cs="Times New Roman"/>
          <w:sz w:val="24"/>
          <w:szCs w:val="24"/>
          <w:lang w:eastAsia="es-ES"/>
        </w:rPr>
        <w:t xml:space="preserve">: Convenio a 30 meses. </w:t>
      </w:r>
    </w:p>
    <w:p w:rsidR="00454562" w:rsidRPr="00454562" w:rsidRDefault="00DD169D" w:rsidP="00454562">
      <w:pPr>
        <w:spacing w:before="100" w:beforeAutospacing="1" w:after="100" w:afterAutospacing="1" w:line="240" w:lineRule="auto"/>
        <w:rPr>
          <w:rFonts w:ascii="Times New Roman" w:eastAsia="Times New Roman" w:hAnsi="Times New Roman" w:cs="Times New Roman"/>
          <w:sz w:val="24"/>
          <w:szCs w:val="24"/>
          <w:lang w:eastAsia="es-ES"/>
        </w:rPr>
      </w:pPr>
      <w:r w:rsidRPr="00DE75D3">
        <w:rPr>
          <w:rFonts w:ascii="Times New Roman" w:eastAsia="Times New Roman" w:hAnsi="Times New Roman" w:cs="Times New Roman"/>
          <w:b/>
          <w:sz w:val="24"/>
          <w:szCs w:val="24"/>
          <w:lang w:eastAsia="es-ES"/>
        </w:rPr>
        <w:t xml:space="preserve">2) </w:t>
      </w:r>
      <w:r w:rsidR="001B4BD5" w:rsidRPr="001B4BD5">
        <w:rPr>
          <w:rFonts w:ascii="Times New Roman" w:eastAsia="Times New Roman" w:hAnsi="Times New Roman" w:cs="Times New Roman"/>
          <w:b/>
          <w:sz w:val="24"/>
          <w:szCs w:val="24"/>
          <w:u w:val="single"/>
          <w:lang w:eastAsia="es-ES"/>
        </w:rPr>
        <w:t xml:space="preserve">PERIODICIDAD DE LOS </w:t>
      </w:r>
      <w:r w:rsidRPr="00DE75D3">
        <w:rPr>
          <w:rFonts w:ascii="Times New Roman" w:eastAsia="Times New Roman" w:hAnsi="Times New Roman" w:cs="Times New Roman"/>
          <w:b/>
          <w:sz w:val="24"/>
          <w:szCs w:val="24"/>
          <w:u w:val="single"/>
          <w:lang w:eastAsia="es-ES"/>
        </w:rPr>
        <w:t>AUMENTOS</w:t>
      </w:r>
      <w:r>
        <w:rPr>
          <w:rFonts w:ascii="Times New Roman" w:eastAsia="Times New Roman" w:hAnsi="Times New Roman" w:cs="Times New Roman"/>
          <w:sz w:val="24"/>
          <w:szCs w:val="24"/>
          <w:lang w:eastAsia="es-ES"/>
        </w:rPr>
        <w:t>: S</w:t>
      </w:r>
      <w:r w:rsidR="00454562" w:rsidRPr="00454562">
        <w:rPr>
          <w:rFonts w:ascii="Times New Roman" w:eastAsia="Times New Roman" w:hAnsi="Times New Roman" w:cs="Times New Roman"/>
          <w:sz w:val="24"/>
          <w:szCs w:val="24"/>
          <w:lang w:eastAsia="es-ES"/>
        </w:rPr>
        <w:t>emestrales</w:t>
      </w:r>
    </w:p>
    <w:p w:rsidR="00051F69" w:rsidRDefault="001B4BD5" w:rsidP="001B4BD5">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Pr>
          <w:rFonts w:ascii="Times New Roman" w:eastAsia="Times New Roman" w:hAnsi="Times New Roman" w:cs="Arial"/>
          <w:b/>
          <w:color w:val="000000"/>
          <w:sz w:val="24"/>
          <w:szCs w:val="24"/>
          <w:lang w:eastAsia="es-ES"/>
        </w:rPr>
        <w:t>3</w:t>
      </w:r>
      <w:r w:rsidRPr="001B4BD5">
        <w:rPr>
          <w:rFonts w:ascii="Times New Roman" w:eastAsia="Times New Roman" w:hAnsi="Times New Roman" w:cs="Arial"/>
          <w:b/>
          <w:color w:val="000000"/>
          <w:sz w:val="24"/>
          <w:szCs w:val="24"/>
          <w:lang w:eastAsia="es-ES"/>
        </w:rPr>
        <w:t>)</w:t>
      </w:r>
      <w:r w:rsidRPr="0048146D">
        <w:rPr>
          <w:rFonts w:ascii="Times New Roman" w:eastAsia="Times New Roman" w:hAnsi="Times New Roman" w:cs="Arial"/>
          <w:b/>
          <w:color w:val="000000"/>
          <w:sz w:val="24"/>
          <w:szCs w:val="24"/>
          <w:u w:val="single"/>
          <w:lang w:eastAsia="es-ES"/>
        </w:rPr>
        <w:t xml:space="preserve"> CORRECTIVO </w:t>
      </w:r>
      <w:r>
        <w:rPr>
          <w:rFonts w:ascii="Times New Roman" w:eastAsia="Times New Roman" w:hAnsi="Times New Roman" w:cs="Arial"/>
          <w:b/>
          <w:color w:val="000000"/>
          <w:sz w:val="24"/>
          <w:szCs w:val="24"/>
          <w:u w:val="single"/>
          <w:lang w:eastAsia="es-ES"/>
        </w:rPr>
        <w:t xml:space="preserve">CORRESPONDIENTE AL </w:t>
      </w:r>
      <w:r w:rsidRPr="0048146D">
        <w:rPr>
          <w:rFonts w:ascii="Times New Roman" w:eastAsia="Times New Roman" w:hAnsi="Times New Roman" w:cs="Arial"/>
          <w:b/>
          <w:color w:val="000000"/>
          <w:sz w:val="24"/>
          <w:szCs w:val="24"/>
          <w:u w:val="single"/>
          <w:lang w:eastAsia="es-ES"/>
        </w:rPr>
        <w:t>CONVENIO ANTERIOR</w:t>
      </w:r>
      <w:r>
        <w:rPr>
          <w:rFonts w:ascii="Times New Roman" w:eastAsia="Times New Roman" w:hAnsi="Times New Roman" w:cs="Arial"/>
          <w:color w:val="000000"/>
          <w:sz w:val="24"/>
          <w:szCs w:val="24"/>
          <w:lang w:eastAsia="es-ES"/>
        </w:rPr>
        <w:t>:</w:t>
      </w:r>
      <w:r w:rsidRPr="00092920">
        <w:rPr>
          <w:rFonts w:ascii="Times New Roman" w:eastAsia="Times New Roman" w:hAnsi="Times New Roman" w:cs="Arial"/>
          <w:color w:val="000000"/>
          <w:sz w:val="24"/>
          <w:szCs w:val="24"/>
          <w:lang w:val="es-UY" w:eastAsia="es-ES"/>
        </w:rPr>
        <w:t xml:space="preserve"> </w:t>
      </w:r>
      <w:r>
        <w:rPr>
          <w:rFonts w:ascii="Times New Roman" w:eastAsia="Times New Roman" w:hAnsi="Times New Roman" w:cs="Arial"/>
          <w:color w:val="000000"/>
          <w:sz w:val="24"/>
          <w:szCs w:val="24"/>
          <w:lang w:val="es-UY" w:eastAsia="es-ES"/>
        </w:rPr>
        <w:t>c</w:t>
      </w:r>
      <w:r w:rsidRPr="00092920">
        <w:rPr>
          <w:rFonts w:ascii="Times New Roman" w:eastAsia="Times New Roman" w:hAnsi="Times New Roman" w:cs="Arial"/>
          <w:color w:val="000000"/>
          <w:sz w:val="24"/>
          <w:szCs w:val="24"/>
          <w:lang w:val="es-UY" w:eastAsia="es-ES"/>
        </w:rPr>
        <w:t>orresponde aplicar sobre los salarios vigentes al 30/6/18, el correctivo de IPC según el siguiente detalle:</w:t>
      </w:r>
    </w:p>
    <w:p w:rsidR="001B4BD5" w:rsidRPr="0048146D" w:rsidRDefault="00051F69" w:rsidP="001B4BD5">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 xml:space="preserve">       </w:t>
      </w:r>
      <w:r w:rsidR="001B4BD5" w:rsidRPr="00092920">
        <w:rPr>
          <w:rFonts w:ascii="Times New Roman" w:eastAsia="Times New Roman" w:hAnsi="Times New Roman" w:cs="Arial"/>
          <w:color w:val="000000"/>
          <w:sz w:val="24"/>
          <w:szCs w:val="24"/>
          <w:lang w:val="es-UY" w:eastAsia="es-ES"/>
        </w:rPr>
        <w:t xml:space="preserve">a) los salarios que al 30/6/18 no superen los $17.100 mensuales nominales por 44 horas semanales de labor, se les aplicará un correctivo de 2,02%; </w:t>
      </w:r>
    </w:p>
    <w:p w:rsidR="00454562" w:rsidRPr="001B4BD5" w:rsidRDefault="00051F69" w:rsidP="00454562">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val="es-UY" w:eastAsia="es-ES"/>
        </w:rPr>
      </w:pPr>
      <w:r>
        <w:rPr>
          <w:rFonts w:ascii="Times New Roman" w:eastAsia="Times New Roman" w:hAnsi="Times New Roman" w:cs="Arial"/>
          <w:color w:val="000000"/>
          <w:sz w:val="24"/>
          <w:szCs w:val="24"/>
          <w:lang w:eastAsia="es-ES"/>
        </w:rPr>
        <w:t xml:space="preserve">       </w:t>
      </w:r>
      <w:r w:rsidR="001B4BD5" w:rsidRPr="00092920">
        <w:rPr>
          <w:rFonts w:ascii="Times New Roman" w:eastAsia="Times New Roman" w:hAnsi="Times New Roman" w:cs="Arial"/>
          <w:color w:val="000000"/>
          <w:sz w:val="24"/>
          <w:szCs w:val="24"/>
          <w:lang w:val="es-UY" w:eastAsia="es-ES"/>
        </w:rPr>
        <w:t>b) salarios que al 30/6/18 superen los $17.100 mensuales nominales por 44 horas semanales de labor, se les aplicará un correctivo de 2,52%</w:t>
      </w:r>
      <w:proofErr w:type="gramStart"/>
      <w:r w:rsidR="001B4BD5" w:rsidRPr="00092920">
        <w:rPr>
          <w:rFonts w:ascii="Times New Roman" w:eastAsia="Times New Roman" w:hAnsi="Times New Roman" w:cs="Arial"/>
          <w:color w:val="000000"/>
          <w:sz w:val="24"/>
          <w:szCs w:val="24"/>
          <w:lang w:val="es-UY" w:eastAsia="es-ES"/>
        </w:rPr>
        <w:t>.</w:t>
      </w:r>
      <w:r w:rsidR="00454562" w:rsidRPr="00454562">
        <w:rPr>
          <w:rFonts w:ascii="Times New Roman" w:eastAsia="Times New Roman" w:hAnsi="Times New Roman" w:cs="Arial"/>
          <w:color w:val="000000"/>
          <w:sz w:val="24"/>
          <w:szCs w:val="24"/>
          <w:lang w:eastAsia="es-ES"/>
        </w:rPr>
        <w:t>.</w:t>
      </w:r>
      <w:proofErr w:type="gramEnd"/>
    </w:p>
    <w:p w:rsidR="00260B3C" w:rsidRDefault="001B4BD5" w:rsidP="00454562">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Pr>
          <w:rFonts w:ascii="Times New Roman" w:eastAsia="Times New Roman" w:hAnsi="Times New Roman" w:cs="Arial"/>
          <w:b/>
          <w:color w:val="000000"/>
          <w:sz w:val="24"/>
          <w:szCs w:val="24"/>
          <w:lang w:eastAsia="es-ES"/>
        </w:rPr>
        <w:t>4</w:t>
      </w:r>
      <w:r w:rsidR="00454562" w:rsidRPr="00260B3C">
        <w:rPr>
          <w:rFonts w:ascii="Times New Roman" w:eastAsia="Times New Roman" w:hAnsi="Times New Roman" w:cs="Arial"/>
          <w:b/>
          <w:color w:val="000000"/>
          <w:sz w:val="24"/>
          <w:szCs w:val="24"/>
          <w:lang w:eastAsia="es-ES"/>
        </w:rPr>
        <w:t xml:space="preserve">) </w:t>
      </w:r>
      <w:r w:rsidR="00454562" w:rsidRPr="00260B3C">
        <w:rPr>
          <w:rFonts w:ascii="Times New Roman" w:eastAsia="Times New Roman" w:hAnsi="Times New Roman" w:cs="Arial"/>
          <w:b/>
          <w:color w:val="000000"/>
          <w:sz w:val="24"/>
          <w:szCs w:val="24"/>
          <w:u w:val="single"/>
          <w:lang w:eastAsia="es-ES"/>
        </w:rPr>
        <w:t>AUMENTOS NOMINALES</w:t>
      </w:r>
      <w:r w:rsidR="00260B3C">
        <w:rPr>
          <w:rFonts w:ascii="Times New Roman" w:eastAsia="Times New Roman" w:hAnsi="Times New Roman" w:cs="Arial"/>
          <w:color w:val="000000"/>
          <w:sz w:val="24"/>
          <w:szCs w:val="24"/>
          <w:lang w:eastAsia="es-ES"/>
        </w:rPr>
        <w:t>: Corresponderán 5 ajustes:</w:t>
      </w:r>
    </w:p>
    <w:p w:rsidR="00454562" w:rsidRPr="00454562" w:rsidRDefault="00260B3C" w:rsidP="00454562">
      <w:pPr>
        <w:shd w:val="clear" w:color="auto" w:fill="FFFFFF"/>
        <w:spacing w:before="100" w:beforeAutospacing="1" w:after="120" w:line="336" w:lineRule="atLeast"/>
        <w:textAlignment w:val="baseline"/>
        <w:rPr>
          <w:rFonts w:ascii="Times New Roman" w:eastAsia="Times New Roman" w:hAnsi="Times New Roman" w:cs="Times New Roman"/>
          <w:sz w:val="24"/>
          <w:szCs w:val="24"/>
          <w:lang w:eastAsia="es-ES"/>
        </w:rPr>
      </w:pP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  1/7/18,  </w:t>
      </w: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 xml:space="preserve"> 1/1/19, </w:t>
      </w: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  1/7/19, </w:t>
      </w:r>
      <w:r>
        <w:rPr>
          <w:rFonts w:ascii="Times New Roman" w:eastAsia="Times New Roman" w:hAnsi="Times New Roman" w:cs="Arial"/>
          <w:color w:val="000000"/>
          <w:sz w:val="24"/>
          <w:szCs w:val="24"/>
          <w:lang w:eastAsia="es-ES"/>
        </w:rPr>
        <w:t xml:space="preserve">      1/1/20</w:t>
      </w:r>
      <w:r w:rsidR="00454562" w:rsidRPr="00454562">
        <w:rPr>
          <w:rFonts w:ascii="Times New Roman" w:eastAsia="Times New Roman" w:hAnsi="Times New Roman" w:cs="Arial"/>
          <w:color w:val="000000"/>
          <w:sz w:val="24"/>
          <w:szCs w:val="24"/>
          <w:lang w:eastAsia="es-ES"/>
        </w:rPr>
        <w:t xml:space="preserve">, </w:t>
      </w: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1/7/</w:t>
      </w:r>
      <w:r w:rsidRPr="00454562">
        <w:rPr>
          <w:rFonts w:ascii="Times New Roman" w:eastAsia="Times New Roman" w:hAnsi="Times New Roman" w:cs="Arial"/>
          <w:color w:val="000000"/>
          <w:sz w:val="24"/>
          <w:szCs w:val="24"/>
          <w:lang w:eastAsia="es-ES"/>
        </w:rPr>
        <w:t>20.</w:t>
      </w:r>
    </w:p>
    <w:p w:rsidR="00454562" w:rsidRPr="00454562" w:rsidRDefault="00454562" w:rsidP="00454562">
      <w:pPr>
        <w:shd w:val="clear" w:color="auto" w:fill="FFFFFF"/>
        <w:spacing w:before="100" w:beforeAutospacing="1" w:after="120" w:line="336" w:lineRule="atLeast"/>
        <w:textAlignment w:val="baseline"/>
        <w:rPr>
          <w:rFonts w:ascii="Times New Roman" w:eastAsia="Times New Roman" w:hAnsi="Times New Roman" w:cs="Times New Roman"/>
          <w:sz w:val="24"/>
          <w:szCs w:val="24"/>
          <w:lang w:eastAsia="es-ES"/>
        </w:rPr>
      </w:pPr>
      <w:r w:rsidRPr="00454562">
        <w:rPr>
          <w:rFonts w:ascii="Times New Roman" w:eastAsia="Times New Roman" w:hAnsi="Times New Roman" w:cs="Arial"/>
          <w:color w:val="000000"/>
          <w:sz w:val="24"/>
          <w:szCs w:val="24"/>
          <w:lang w:eastAsia="es-ES"/>
        </w:rPr>
        <w:t xml:space="preserve">           a) Salarios inferiores a $ 19.500 al 30 de junio 2018, aumentaran semestralmente de acuerdo a las pautas </w:t>
      </w:r>
      <w:r w:rsidR="00DE75D3">
        <w:rPr>
          <w:rFonts w:ascii="Times New Roman" w:eastAsia="Times New Roman" w:hAnsi="Times New Roman" w:cs="Arial"/>
          <w:color w:val="000000"/>
          <w:sz w:val="24"/>
          <w:szCs w:val="24"/>
          <w:lang w:eastAsia="es-ES"/>
        </w:rPr>
        <w:t xml:space="preserve">del poder ejecutivo </w:t>
      </w:r>
      <w:r w:rsidRPr="00454562">
        <w:rPr>
          <w:rFonts w:ascii="Times New Roman" w:eastAsia="Times New Roman" w:hAnsi="Times New Roman" w:cs="Arial"/>
          <w:color w:val="000000"/>
          <w:sz w:val="24"/>
          <w:szCs w:val="24"/>
          <w:lang w:eastAsia="es-ES"/>
        </w:rPr>
        <w:t>con los porcentajes correspondientes</w:t>
      </w:r>
      <w:proofErr w:type="gramStart"/>
      <w:r w:rsidRPr="00454562">
        <w:rPr>
          <w:rFonts w:ascii="Times New Roman" w:eastAsia="Times New Roman" w:hAnsi="Times New Roman" w:cs="Arial"/>
          <w:color w:val="000000"/>
          <w:sz w:val="24"/>
          <w:szCs w:val="24"/>
          <w:lang w:eastAsia="es-ES"/>
        </w:rPr>
        <w:t>  a</w:t>
      </w:r>
      <w:proofErr w:type="gramEnd"/>
      <w:r w:rsidRPr="00454562">
        <w:rPr>
          <w:rFonts w:ascii="Times New Roman" w:eastAsia="Times New Roman" w:hAnsi="Times New Roman" w:cs="Arial"/>
          <w:color w:val="000000"/>
          <w:sz w:val="24"/>
          <w:szCs w:val="24"/>
          <w:lang w:eastAsia="es-ES"/>
        </w:rPr>
        <w:t xml:space="preserve"> sector medio, es decir, 3,75% / 3,75% / 3,5% / 3,5% / 3%</w:t>
      </w:r>
    </w:p>
    <w:p w:rsidR="00454562" w:rsidRDefault="00454562" w:rsidP="00454562">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sidRPr="00454562">
        <w:rPr>
          <w:rFonts w:ascii="Times New Roman" w:eastAsia="Times New Roman" w:hAnsi="Times New Roman" w:cs="Arial"/>
          <w:color w:val="000000"/>
          <w:sz w:val="24"/>
          <w:szCs w:val="24"/>
          <w:lang w:eastAsia="es-ES"/>
        </w:rPr>
        <w:t xml:space="preserve">           b) Salarios superiores a $ 19.500 al 30 de junio 2018, aumentaran semestralmente de acuerdo a las pautas </w:t>
      </w:r>
      <w:r w:rsidR="00DE75D3">
        <w:rPr>
          <w:rFonts w:ascii="Times New Roman" w:eastAsia="Times New Roman" w:hAnsi="Times New Roman" w:cs="Arial"/>
          <w:color w:val="000000"/>
          <w:sz w:val="24"/>
          <w:szCs w:val="24"/>
          <w:lang w:eastAsia="es-ES"/>
        </w:rPr>
        <w:t xml:space="preserve">del poder ejecutivo </w:t>
      </w:r>
      <w:r w:rsidRPr="00454562">
        <w:rPr>
          <w:rFonts w:ascii="Times New Roman" w:eastAsia="Times New Roman" w:hAnsi="Times New Roman" w:cs="Arial"/>
          <w:color w:val="000000"/>
          <w:sz w:val="24"/>
          <w:szCs w:val="24"/>
          <w:lang w:eastAsia="es-ES"/>
        </w:rPr>
        <w:t>con los porcentajes correspondientes</w:t>
      </w:r>
      <w:proofErr w:type="gramStart"/>
      <w:r w:rsidRPr="00454562">
        <w:rPr>
          <w:rFonts w:ascii="Times New Roman" w:eastAsia="Times New Roman" w:hAnsi="Times New Roman" w:cs="Arial"/>
          <w:color w:val="000000"/>
          <w:sz w:val="24"/>
          <w:szCs w:val="24"/>
          <w:lang w:eastAsia="es-ES"/>
        </w:rPr>
        <w:t>  a</w:t>
      </w:r>
      <w:proofErr w:type="gramEnd"/>
      <w:r w:rsidRPr="00454562">
        <w:rPr>
          <w:rFonts w:ascii="Times New Roman" w:eastAsia="Times New Roman" w:hAnsi="Times New Roman" w:cs="Arial"/>
          <w:color w:val="000000"/>
          <w:sz w:val="24"/>
          <w:szCs w:val="24"/>
          <w:lang w:eastAsia="es-ES"/>
        </w:rPr>
        <w:t xml:space="preserve"> sector en problemas, es decir,  3,25% / 3,25% / 3% / 3% / 2,5%</w:t>
      </w:r>
    </w:p>
    <w:p w:rsidR="001B4BD5" w:rsidRDefault="0048146D" w:rsidP="001B4BD5">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r w:rsidRPr="0048146D">
        <w:rPr>
          <w:rFonts w:ascii="Times New Roman" w:eastAsia="Times New Roman" w:hAnsi="Times New Roman" w:cs="Arial"/>
          <w:color w:val="000000"/>
          <w:sz w:val="24"/>
          <w:szCs w:val="24"/>
          <w:lang w:val="es-UY" w:eastAsia="es-ES"/>
        </w:rPr>
        <w:t xml:space="preserve">El valor de $19.500 </w:t>
      </w:r>
      <w:r>
        <w:rPr>
          <w:rFonts w:ascii="Times New Roman" w:eastAsia="Times New Roman" w:hAnsi="Times New Roman" w:cs="Arial"/>
          <w:color w:val="000000"/>
          <w:sz w:val="24"/>
          <w:szCs w:val="24"/>
          <w:lang w:val="es-UY" w:eastAsia="es-ES"/>
        </w:rPr>
        <w:t xml:space="preserve">se </w:t>
      </w:r>
      <w:r w:rsidRPr="0048146D">
        <w:rPr>
          <w:rFonts w:ascii="Times New Roman" w:eastAsia="Times New Roman" w:hAnsi="Times New Roman" w:cs="Arial"/>
          <w:color w:val="000000"/>
          <w:sz w:val="24"/>
          <w:szCs w:val="24"/>
          <w:lang w:val="es-UY" w:eastAsia="es-ES"/>
        </w:rPr>
        <w:t>ajustará semestralmente según el ajuste nominal previsto para la Franja 1.</w:t>
      </w:r>
      <w:r w:rsidR="001B4BD5" w:rsidRPr="001B4BD5">
        <w:rPr>
          <w:rFonts w:ascii="Times New Roman" w:eastAsia="Times New Roman" w:hAnsi="Times New Roman" w:cs="Arial"/>
          <w:b/>
          <w:color w:val="000000"/>
          <w:sz w:val="24"/>
          <w:szCs w:val="24"/>
          <w:u w:val="single"/>
          <w:lang w:val="es-UY" w:eastAsia="es-ES"/>
        </w:rPr>
        <w:t xml:space="preserve"> </w:t>
      </w:r>
    </w:p>
    <w:p w:rsidR="00454562" w:rsidRPr="00454562" w:rsidRDefault="001B4BD5" w:rsidP="00454562">
      <w:pPr>
        <w:shd w:val="clear" w:color="auto" w:fill="FFFFFF"/>
        <w:spacing w:before="100" w:beforeAutospacing="1" w:after="120" w:line="336" w:lineRule="atLeast"/>
        <w:textAlignment w:val="baseline"/>
        <w:rPr>
          <w:rFonts w:ascii="Times New Roman" w:eastAsia="Times New Roman" w:hAnsi="Times New Roman" w:cs="Times New Roman"/>
          <w:sz w:val="24"/>
          <w:szCs w:val="24"/>
          <w:lang w:eastAsia="es-ES"/>
        </w:rPr>
      </w:pPr>
      <w:r>
        <w:rPr>
          <w:rFonts w:ascii="Times New Roman" w:eastAsia="Times New Roman" w:hAnsi="Times New Roman" w:cs="Arial"/>
          <w:b/>
          <w:color w:val="000000"/>
          <w:sz w:val="24"/>
          <w:szCs w:val="24"/>
          <w:lang w:eastAsia="es-ES"/>
        </w:rPr>
        <w:t>5</w:t>
      </w:r>
      <w:r w:rsidR="00454562" w:rsidRPr="00260B3C">
        <w:rPr>
          <w:rFonts w:ascii="Times New Roman" w:eastAsia="Times New Roman" w:hAnsi="Times New Roman" w:cs="Arial"/>
          <w:b/>
          <w:color w:val="000000"/>
          <w:sz w:val="24"/>
          <w:szCs w:val="24"/>
          <w:lang w:eastAsia="es-ES"/>
        </w:rPr>
        <w:t xml:space="preserve">) </w:t>
      </w:r>
      <w:r w:rsidR="00454562" w:rsidRPr="00260B3C">
        <w:rPr>
          <w:rFonts w:ascii="Times New Roman" w:eastAsia="Times New Roman" w:hAnsi="Times New Roman" w:cs="Arial"/>
          <w:b/>
          <w:color w:val="000000"/>
          <w:sz w:val="24"/>
          <w:szCs w:val="24"/>
          <w:u w:val="single"/>
          <w:lang w:eastAsia="es-ES"/>
        </w:rPr>
        <w:t>COMPLEMENTO</w:t>
      </w:r>
      <w:r>
        <w:rPr>
          <w:rFonts w:ascii="Times New Roman" w:eastAsia="Times New Roman" w:hAnsi="Times New Roman" w:cs="Arial"/>
          <w:b/>
          <w:color w:val="000000"/>
          <w:sz w:val="24"/>
          <w:szCs w:val="24"/>
          <w:u w:val="single"/>
          <w:lang w:eastAsia="es-ES"/>
        </w:rPr>
        <w:t xml:space="preserve"> ADICIONAL</w:t>
      </w:r>
      <w:r w:rsidR="00454562" w:rsidRPr="00260B3C">
        <w:rPr>
          <w:rFonts w:ascii="Times New Roman" w:eastAsia="Times New Roman" w:hAnsi="Times New Roman" w:cs="Arial"/>
          <w:b/>
          <w:color w:val="000000"/>
          <w:sz w:val="24"/>
          <w:szCs w:val="24"/>
          <w:u w:val="single"/>
          <w:lang w:eastAsia="es-ES"/>
        </w:rPr>
        <w:t xml:space="preserve"> A SALARIOS </w:t>
      </w:r>
      <w:r>
        <w:rPr>
          <w:rFonts w:ascii="Times New Roman" w:eastAsia="Times New Roman" w:hAnsi="Times New Roman" w:cs="Arial"/>
          <w:b/>
          <w:color w:val="000000"/>
          <w:sz w:val="24"/>
          <w:szCs w:val="24"/>
          <w:u w:val="single"/>
          <w:lang w:eastAsia="es-ES"/>
        </w:rPr>
        <w:t xml:space="preserve">CONSIDERADOS </w:t>
      </w:r>
      <w:r w:rsidR="00454562" w:rsidRPr="00260B3C">
        <w:rPr>
          <w:rFonts w:ascii="Times New Roman" w:eastAsia="Times New Roman" w:hAnsi="Times New Roman" w:cs="Arial"/>
          <w:b/>
          <w:color w:val="000000"/>
          <w:sz w:val="24"/>
          <w:szCs w:val="24"/>
          <w:u w:val="single"/>
          <w:lang w:eastAsia="es-ES"/>
        </w:rPr>
        <w:t>SUMERGIDOS</w:t>
      </w:r>
      <w:r w:rsidR="00454562" w:rsidRPr="00454562">
        <w:rPr>
          <w:rFonts w:ascii="Times New Roman" w:eastAsia="Times New Roman" w:hAnsi="Times New Roman" w:cs="Arial"/>
          <w:color w:val="000000"/>
          <w:sz w:val="24"/>
          <w:szCs w:val="24"/>
          <w:lang w:eastAsia="es-ES"/>
        </w:rPr>
        <w:t xml:space="preserve">: Los salarios considerados sumergidos, </w:t>
      </w:r>
      <w:r w:rsidR="00260B3C" w:rsidRPr="00454562">
        <w:rPr>
          <w:rFonts w:ascii="Times New Roman" w:eastAsia="Times New Roman" w:hAnsi="Times New Roman" w:cs="Arial"/>
          <w:color w:val="000000"/>
          <w:sz w:val="24"/>
          <w:szCs w:val="24"/>
          <w:lang w:eastAsia="es-ES"/>
        </w:rPr>
        <w:t>tendrán</w:t>
      </w:r>
      <w:r w:rsidR="00454562" w:rsidRPr="00454562">
        <w:rPr>
          <w:rFonts w:ascii="Times New Roman" w:eastAsia="Times New Roman" w:hAnsi="Times New Roman" w:cs="Arial"/>
          <w:color w:val="000000"/>
          <w:sz w:val="24"/>
          <w:szCs w:val="24"/>
          <w:lang w:eastAsia="es-ES"/>
        </w:rPr>
        <w:t xml:space="preserve"> el porcentaje de aumento complementario establecido en las pautas del poder ejecutivo</w:t>
      </w: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 xml:space="preserve">Se consideran salarios sumergidos los salarios inferiores a $ 17.100 al 30.06.18. Dicho tope de salarios sumergidos aumentara semestralmente de acuerdo a lo establecido en las pautas del poder ejecutivo en igual porcentaje que el salario </w:t>
      </w:r>
      <w:r w:rsidR="00260B3C" w:rsidRPr="00454562">
        <w:rPr>
          <w:rFonts w:ascii="Times New Roman" w:eastAsia="Times New Roman" w:hAnsi="Times New Roman" w:cs="Arial"/>
          <w:color w:val="000000"/>
          <w:sz w:val="24"/>
          <w:szCs w:val="24"/>
          <w:lang w:eastAsia="es-ES"/>
        </w:rPr>
        <w:t>mínimo</w:t>
      </w:r>
      <w:r w:rsidR="00454562" w:rsidRPr="00454562">
        <w:rPr>
          <w:rFonts w:ascii="Times New Roman" w:eastAsia="Times New Roman" w:hAnsi="Times New Roman" w:cs="Arial"/>
          <w:color w:val="000000"/>
          <w:sz w:val="24"/>
          <w:szCs w:val="24"/>
          <w:lang w:eastAsia="es-ES"/>
        </w:rPr>
        <w:t xml:space="preserve"> nacional.</w:t>
      </w:r>
    </w:p>
    <w:p w:rsidR="001B4BD5" w:rsidRPr="0048146D" w:rsidRDefault="001B4BD5" w:rsidP="001B4BD5">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val="es-UY" w:eastAsia="es-ES"/>
        </w:rPr>
      </w:pPr>
      <w:r>
        <w:rPr>
          <w:rFonts w:ascii="Times New Roman" w:eastAsia="Times New Roman" w:hAnsi="Times New Roman" w:cs="Arial"/>
          <w:b/>
          <w:color w:val="000000"/>
          <w:sz w:val="24"/>
          <w:szCs w:val="24"/>
          <w:u w:val="single"/>
          <w:lang w:val="es-UY" w:eastAsia="es-ES"/>
        </w:rPr>
        <w:t>6</w:t>
      </w:r>
      <w:r w:rsidRPr="0048146D">
        <w:rPr>
          <w:rFonts w:ascii="Times New Roman" w:eastAsia="Times New Roman" w:hAnsi="Times New Roman" w:cs="Arial"/>
          <w:b/>
          <w:color w:val="000000"/>
          <w:sz w:val="24"/>
          <w:szCs w:val="24"/>
          <w:u w:val="single"/>
          <w:lang w:val="es-UY" w:eastAsia="es-ES"/>
        </w:rPr>
        <w:t xml:space="preserve">) </w:t>
      </w:r>
      <w:r>
        <w:rPr>
          <w:rFonts w:ascii="Times New Roman" w:eastAsia="Times New Roman" w:hAnsi="Times New Roman" w:cs="Arial"/>
          <w:b/>
          <w:bCs/>
          <w:color w:val="000000"/>
          <w:sz w:val="24"/>
          <w:szCs w:val="24"/>
          <w:u w:val="single"/>
          <w:lang w:val="es-UY" w:eastAsia="es-ES"/>
        </w:rPr>
        <w:t>AJUSTES PREVISTOS PARA QUEBRANTOS</w:t>
      </w:r>
      <w:r w:rsidRPr="00092920">
        <w:rPr>
          <w:rFonts w:ascii="Times New Roman" w:eastAsia="Times New Roman" w:hAnsi="Times New Roman" w:cs="Arial"/>
          <w:b/>
          <w:bCs/>
          <w:color w:val="000000"/>
          <w:sz w:val="24"/>
          <w:szCs w:val="24"/>
          <w:lang w:val="es-UY" w:eastAsia="es-ES"/>
        </w:rPr>
        <w:t>.</w:t>
      </w:r>
      <w:r w:rsidRPr="00092920">
        <w:rPr>
          <w:rFonts w:ascii="Times New Roman" w:eastAsia="Times New Roman" w:hAnsi="Times New Roman" w:cs="Arial"/>
          <w:color w:val="000000"/>
          <w:sz w:val="24"/>
          <w:szCs w:val="24"/>
          <w:lang w:val="es-UY" w:eastAsia="es-ES"/>
        </w:rPr>
        <w:t xml:space="preserve"> Los Quebrantos de Caja (Cajeros/Mandaderos) serán ajustados semestralmente con el mismo porcentaje previsto para los incrementos salariales nominales otorgados a los salarios mínimos, sin considerar ninguna clase de correctivos ni los ajustes diferenciales para salarios sumergidos.</w:t>
      </w:r>
    </w:p>
    <w:p w:rsidR="001B4BD5" w:rsidRDefault="001B4BD5" w:rsidP="001B4BD5">
      <w:pPr>
        <w:spacing w:line="360" w:lineRule="auto"/>
        <w:jc w:val="both"/>
        <w:rPr>
          <w:rFonts w:ascii="Bitstream Charter" w:eastAsia="Times New Roman" w:hAnsi="Bitstream Charter" w:cs="Arial"/>
          <w:color w:val="000000"/>
          <w:sz w:val="24"/>
          <w:szCs w:val="24"/>
          <w:shd w:val="clear" w:color="auto" w:fill="FFFFFF"/>
          <w:lang w:val="es-UY"/>
        </w:rPr>
      </w:pPr>
      <w:r w:rsidRPr="001B4BD5">
        <w:rPr>
          <w:rFonts w:ascii="Times New Roman" w:eastAsia="Times New Roman" w:hAnsi="Times New Roman" w:cs="Arial"/>
          <w:b/>
          <w:color w:val="000000"/>
          <w:sz w:val="24"/>
          <w:szCs w:val="24"/>
          <w:lang w:val="es-UY" w:eastAsia="es-ES"/>
        </w:rPr>
        <w:lastRenderedPageBreak/>
        <w:t>7</w:t>
      </w:r>
      <w:r w:rsidRPr="001B4BD5">
        <w:rPr>
          <w:rFonts w:ascii="Times New Roman" w:eastAsia="Times New Roman" w:hAnsi="Times New Roman" w:cs="Arial"/>
          <w:b/>
          <w:color w:val="000000"/>
          <w:sz w:val="24"/>
          <w:szCs w:val="24"/>
          <w:lang w:eastAsia="es-ES"/>
        </w:rPr>
        <w:t>)</w:t>
      </w:r>
      <w:r w:rsidR="009E596F">
        <w:rPr>
          <w:rFonts w:ascii="Times New Roman" w:eastAsia="Times New Roman" w:hAnsi="Times New Roman" w:cs="Arial"/>
          <w:b/>
          <w:color w:val="000000"/>
          <w:sz w:val="24"/>
          <w:szCs w:val="24"/>
          <w:lang w:eastAsia="es-ES"/>
        </w:rPr>
        <w:t xml:space="preserve"> </w:t>
      </w:r>
      <w:r>
        <w:rPr>
          <w:rFonts w:ascii="Times New Roman" w:eastAsia="Times New Roman" w:hAnsi="Times New Roman" w:cs="Arial"/>
          <w:b/>
          <w:color w:val="000000"/>
          <w:sz w:val="24"/>
          <w:szCs w:val="24"/>
          <w:u w:val="single"/>
          <w:lang w:eastAsia="es-ES"/>
        </w:rPr>
        <w:t xml:space="preserve">AUMENTOS </w:t>
      </w:r>
      <w:r w:rsidRPr="0048146D">
        <w:rPr>
          <w:rFonts w:ascii="Times New Roman" w:eastAsia="Times New Roman" w:hAnsi="Times New Roman" w:cs="Arial"/>
          <w:b/>
          <w:color w:val="000000"/>
          <w:sz w:val="24"/>
          <w:szCs w:val="24"/>
          <w:u w:val="single"/>
          <w:lang w:eastAsia="es-ES"/>
        </w:rPr>
        <w:t>OTORGADOS A CUENTA</w:t>
      </w:r>
      <w:r w:rsidRPr="00EE7921">
        <w:rPr>
          <w:rFonts w:ascii="Times New Roman" w:eastAsia="Times New Roman" w:hAnsi="Times New Roman" w:cs="Arial"/>
          <w:color w:val="000000"/>
          <w:sz w:val="24"/>
          <w:szCs w:val="24"/>
          <w:lang w:eastAsia="es-ES"/>
        </w:rPr>
        <w:t xml:space="preserve">: </w:t>
      </w:r>
      <w:r>
        <w:rPr>
          <w:rFonts w:ascii="Bitstream Charter" w:eastAsia="Times New Roman" w:hAnsi="Bitstream Charter" w:cs="Arial"/>
          <w:color w:val="000000"/>
          <w:sz w:val="24"/>
          <w:szCs w:val="24"/>
          <w:lang w:val="es-UY"/>
        </w:rPr>
        <w:t xml:space="preserve">Aquellas empresas que con </w:t>
      </w:r>
      <w:r w:rsidRPr="00EE7921">
        <w:rPr>
          <w:rFonts w:ascii="Bitstream Charter" w:eastAsia="Times New Roman" w:hAnsi="Bitstream Charter" w:cs="Arial"/>
          <w:color w:val="000000"/>
          <w:sz w:val="24"/>
          <w:szCs w:val="24"/>
          <w:lang w:val="es-UY"/>
        </w:rPr>
        <w:t xml:space="preserve">anterioridad a la firma del presente acuerdo hayan adelantado el correctivo inflacionario y/o hayan efectuado un adelanto a cuenta, podrán descontar el anticipo del porcentaje fijado dentro del </w:t>
      </w:r>
      <w:proofErr w:type="gramStart"/>
      <w:r w:rsidRPr="00EE7921">
        <w:rPr>
          <w:rFonts w:ascii="Bitstream Charter" w:eastAsia="Times New Roman" w:hAnsi="Bitstream Charter" w:cs="Arial"/>
          <w:color w:val="000000"/>
          <w:sz w:val="24"/>
          <w:szCs w:val="24"/>
          <w:lang w:val="es-UY"/>
        </w:rPr>
        <w:t>primer  ajuste</w:t>
      </w:r>
      <w:proofErr w:type="gramEnd"/>
      <w:r w:rsidRPr="00EE7921">
        <w:rPr>
          <w:rFonts w:ascii="Bitstream Charter" w:eastAsia="Times New Roman" w:hAnsi="Bitstream Charter" w:cs="Arial"/>
          <w:color w:val="000000"/>
          <w:sz w:val="24"/>
          <w:szCs w:val="24"/>
          <w:lang w:val="es-UY"/>
        </w:rPr>
        <w:t xml:space="preserve"> de salarios a apli</w:t>
      </w:r>
      <w:r w:rsidRPr="00EE7921">
        <w:rPr>
          <w:rFonts w:ascii="Bitstream Charter" w:eastAsia="Times New Roman" w:hAnsi="Bitstream Charter" w:cs="Arial"/>
          <w:color w:val="000000"/>
          <w:sz w:val="24"/>
          <w:szCs w:val="24"/>
          <w:shd w:val="clear" w:color="auto" w:fill="FFFFFF"/>
          <w:lang w:val="es-UY"/>
        </w:rPr>
        <w:t>carse.</w:t>
      </w:r>
    </w:p>
    <w:p w:rsidR="001B4BD5" w:rsidRPr="001B4BD5" w:rsidRDefault="001B4BD5" w:rsidP="001B4BD5">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sidRPr="001B4BD5">
        <w:rPr>
          <w:rFonts w:ascii="Times New Roman" w:eastAsia="Times New Roman" w:hAnsi="Times New Roman" w:cs="Arial"/>
          <w:b/>
          <w:color w:val="000000"/>
          <w:sz w:val="24"/>
          <w:szCs w:val="24"/>
          <w:lang w:val="es-UY" w:eastAsia="es-ES"/>
        </w:rPr>
        <w:t>8</w:t>
      </w:r>
      <w:r w:rsidRPr="001B4BD5">
        <w:rPr>
          <w:rFonts w:ascii="Times New Roman" w:eastAsia="Times New Roman" w:hAnsi="Times New Roman" w:cs="Arial"/>
          <w:b/>
          <w:color w:val="000000"/>
          <w:sz w:val="24"/>
          <w:szCs w:val="24"/>
          <w:lang w:eastAsia="es-ES"/>
        </w:rPr>
        <w:t>)</w:t>
      </w:r>
      <w:r w:rsidRPr="0048146D">
        <w:rPr>
          <w:rFonts w:ascii="Times New Roman" w:eastAsia="Times New Roman" w:hAnsi="Times New Roman" w:cs="Arial"/>
          <w:b/>
          <w:color w:val="000000"/>
          <w:sz w:val="24"/>
          <w:szCs w:val="24"/>
          <w:u w:val="single"/>
          <w:lang w:eastAsia="es-ES"/>
        </w:rPr>
        <w:t xml:space="preserve"> RETROACTIVIDAD</w:t>
      </w:r>
      <w:r w:rsidRPr="00454562">
        <w:rPr>
          <w:rFonts w:ascii="Times New Roman" w:eastAsia="Times New Roman" w:hAnsi="Times New Roman" w:cs="Arial"/>
          <w:color w:val="000000"/>
          <w:sz w:val="24"/>
          <w:szCs w:val="24"/>
          <w:lang w:eastAsia="es-ES"/>
        </w:rPr>
        <w:t>: Se establece que la retroactividad correspondiente a los aumentos otorg</w:t>
      </w:r>
      <w:r>
        <w:rPr>
          <w:rFonts w:ascii="Times New Roman" w:eastAsia="Times New Roman" w:hAnsi="Times New Roman" w:cs="Arial"/>
          <w:color w:val="000000"/>
          <w:sz w:val="24"/>
          <w:szCs w:val="24"/>
          <w:lang w:eastAsia="es-ES"/>
        </w:rPr>
        <w:t>ados en este convenio, se podrán</w:t>
      </w:r>
      <w:r w:rsidRPr="00454562">
        <w:rPr>
          <w:rFonts w:ascii="Times New Roman" w:eastAsia="Times New Roman" w:hAnsi="Times New Roman" w:cs="Arial"/>
          <w:color w:val="000000"/>
          <w:sz w:val="24"/>
          <w:szCs w:val="24"/>
          <w:lang w:eastAsia="es-ES"/>
        </w:rPr>
        <w:t xml:space="preserve"> liquidar hasta en dos cuotas, una junto a los haberes correspondientes al mes de noviembre 2018 y la segunda junto a los haberes correspondientes al mes de diciembre 2018.</w:t>
      </w:r>
    </w:p>
    <w:p w:rsidR="001B4BD5" w:rsidRPr="00454562" w:rsidRDefault="001B4BD5" w:rsidP="001B4BD5">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9</w:t>
      </w:r>
      <w:r w:rsidRPr="00454562">
        <w:rPr>
          <w:rFonts w:ascii="Times New Roman" w:eastAsia="Times New Roman" w:hAnsi="Times New Roman" w:cs="Times New Roman"/>
          <w:b/>
          <w:sz w:val="24"/>
          <w:szCs w:val="24"/>
          <w:lang w:eastAsia="es-ES"/>
        </w:rPr>
        <w:t xml:space="preserve">) </w:t>
      </w:r>
      <w:r w:rsidRPr="00260B3C">
        <w:rPr>
          <w:rFonts w:ascii="Times New Roman" w:eastAsia="Times New Roman" w:hAnsi="Times New Roman" w:cs="Times New Roman"/>
          <w:b/>
          <w:sz w:val="24"/>
          <w:szCs w:val="24"/>
          <w:u w:val="single"/>
          <w:lang w:eastAsia="es-ES"/>
        </w:rPr>
        <w:t>CORRECTIVOS</w:t>
      </w:r>
      <w:r w:rsidRPr="00454562">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Se efectuaran </w:t>
      </w:r>
      <w:r w:rsidRPr="00454562">
        <w:rPr>
          <w:rFonts w:ascii="Times New Roman" w:eastAsia="Times New Roman" w:hAnsi="Times New Roman" w:cs="Times New Roman"/>
          <w:sz w:val="24"/>
          <w:szCs w:val="24"/>
          <w:lang w:eastAsia="es-ES"/>
        </w:rPr>
        <w:t xml:space="preserve">a los 18 meses y luego a los 30 meses. Con la ventaja en esta oportunidad, que el correctivo de los 30 meses, es decir, al final del convenio, toma en cuenta el aumento del IPC de TODO el periodo del convenio, descontando los aumentos otorgados. Esto es muy importante, ya que permite al sector empresarial descontar el </w:t>
      </w:r>
      <w:r w:rsidR="00051F69">
        <w:rPr>
          <w:rFonts w:ascii="Times New Roman" w:eastAsia="Times New Roman" w:hAnsi="Times New Roman" w:cs="Times New Roman"/>
          <w:sz w:val="24"/>
          <w:szCs w:val="24"/>
          <w:lang w:eastAsia="es-ES"/>
        </w:rPr>
        <w:t xml:space="preserve">eventual </w:t>
      </w:r>
      <w:r w:rsidRPr="00454562">
        <w:rPr>
          <w:rFonts w:ascii="Times New Roman" w:eastAsia="Times New Roman" w:hAnsi="Times New Roman" w:cs="Times New Roman"/>
          <w:sz w:val="24"/>
          <w:szCs w:val="24"/>
          <w:lang w:eastAsia="es-ES"/>
        </w:rPr>
        <w:t>ajuste en demasía si ocurriera la circunstancia de que en el correctivo intermedio el IPC estuvo por deba</w:t>
      </w:r>
      <w:r>
        <w:rPr>
          <w:rFonts w:ascii="Times New Roman" w:eastAsia="Times New Roman" w:hAnsi="Times New Roman" w:cs="Times New Roman"/>
          <w:sz w:val="24"/>
          <w:szCs w:val="24"/>
          <w:lang w:eastAsia="es-ES"/>
        </w:rPr>
        <w:t>jo del aumento nominal otorgado</w:t>
      </w:r>
      <w:r w:rsidRPr="00454562">
        <w:rPr>
          <w:rFonts w:ascii="Times New Roman" w:eastAsia="Times New Roman" w:hAnsi="Times New Roman" w:cs="Times New Roman"/>
          <w:sz w:val="24"/>
          <w:szCs w:val="24"/>
          <w:lang w:eastAsia="es-ES"/>
        </w:rPr>
        <w:t>.</w:t>
      </w:r>
    </w:p>
    <w:p w:rsidR="001B4BD5" w:rsidRPr="00454562" w:rsidRDefault="006662B7" w:rsidP="001B4BD5">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10</w:t>
      </w:r>
      <w:r w:rsidR="001B4BD5" w:rsidRPr="00454562">
        <w:rPr>
          <w:rFonts w:ascii="Times New Roman" w:eastAsia="Times New Roman" w:hAnsi="Times New Roman" w:cs="Times New Roman"/>
          <w:b/>
          <w:sz w:val="24"/>
          <w:szCs w:val="24"/>
          <w:lang w:eastAsia="es-ES"/>
        </w:rPr>
        <w:t xml:space="preserve">) </w:t>
      </w:r>
      <w:r w:rsidR="001B4BD5" w:rsidRPr="00260B3C">
        <w:rPr>
          <w:rFonts w:ascii="Times New Roman" w:eastAsia="Times New Roman" w:hAnsi="Times New Roman" w:cs="Times New Roman"/>
          <w:b/>
          <w:sz w:val="24"/>
          <w:szCs w:val="24"/>
          <w:u w:val="single"/>
          <w:lang w:eastAsia="es-ES"/>
        </w:rPr>
        <w:t>CLAUSULA DE SALVAGUARDA</w:t>
      </w:r>
      <w:r w:rsidR="001B4BD5" w:rsidRPr="00454562">
        <w:rPr>
          <w:rFonts w:ascii="Times New Roman" w:eastAsia="Times New Roman" w:hAnsi="Times New Roman" w:cs="Times New Roman"/>
          <w:sz w:val="24"/>
          <w:szCs w:val="24"/>
          <w:lang w:eastAsia="es-ES"/>
        </w:rPr>
        <w:t>:</w:t>
      </w:r>
      <w:r w:rsidR="001B4BD5" w:rsidRPr="00454562">
        <w:rPr>
          <w:rFonts w:ascii="Times New Roman" w:eastAsia="Times New Roman" w:hAnsi="Times New Roman" w:cs="Arial"/>
          <w:color w:val="000000"/>
          <w:sz w:val="24"/>
          <w:szCs w:val="24"/>
          <w:lang w:eastAsia="es-ES"/>
        </w:rPr>
        <w:t xml:space="preserve"> Además del correctivo a los 18 meses de vigencia  y a su término con el fin de evitar la pérdida de salario real, se establece una salvaguarda durante los primeros 12 meses de vigencia , en la que, si la inflación supera el 8,5%, podrá convocarse al Consejo de Salarios correspondiente, ámbito que podrá resolver adelantar correctivo.</w:t>
      </w:r>
      <w:r w:rsidR="001B4BD5" w:rsidRPr="00454562">
        <w:rPr>
          <w:rFonts w:ascii="Times New Roman" w:eastAsia="Times New Roman" w:hAnsi="Times New Roman" w:cs="Times New Roman"/>
          <w:sz w:val="24"/>
          <w:szCs w:val="24"/>
          <w:lang w:eastAsia="es-ES"/>
        </w:rPr>
        <w:t xml:space="preserve"> </w:t>
      </w:r>
    </w:p>
    <w:p w:rsidR="00051F69" w:rsidRDefault="006662B7" w:rsidP="00051F69">
      <w:pPr>
        <w:spacing w:line="360" w:lineRule="auto"/>
        <w:jc w:val="both"/>
        <w:rPr>
          <w:rFonts w:ascii="Bitstream Charter" w:eastAsia="Times New Roman" w:hAnsi="Bitstream Charter" w:cs="Arial"/>
          <w:color w:val="000000"/>
          <w:sz w:val="24"/>
          <w:szCs w:val="24"/>
          <w:shd w:val="clear" w:color="auto" w:fill="FFFFFF"/>
        </w:rPr>
      </w:pPr>
      <w:r>
        <w:rPr>
          <w:rFonts w:ascii="Times New Roman" w:eastAsia="Times New Roman" w:hAnsi="Times New Roman" w:cs="Arial"/>
          <w:b/>
          <w:color w:val="000000"/>
          <w:sz w:val="24"/>
          <w:szCs w:val="24"/>
          <w:lang w:eastAsia="es-ES"/>
        </w:rPr>
        <w:t>11</w:t>
      </w:r>
      <w:r w:rsidR="001B4BD5" w:rsidRPr="00260B3C">
        <w:rPr>
          <w:rFonts w:ascii="Times New Roman" w:eastAsia="Times New Roman" w:hAnsi="Times New Roman" w:cs="Arial"/>
          <w:b/>
          <w:color w:val="000000"/>
          <w:sz w:val="24"/>
          <w:szCs w:val="24"/>
          <w:lang w:eastAsia="es-ES"/>
        </w:rPr>
        <w:t xml:space="preserve">) </w:t>
      </w:r>
      <w:r w:rsidR="001B4BD5" w:rsidRPr="00260B3C">
        <w:rPr>
          <w:rFonts w:ascii="Times New Roman" w:eastAsia="Times New Roman" w:hAnsi="Times New Roman" w:cs="Arial"/>
          <w:b/>
          <w:color w:val="000000"/>
          <w:sz w:val="24"/>
          <w:szCs w:val="24"/>
          <w:u w:val="single"/>
          <w:lang w:eastAsia="es-ES"/>
        </w:rPr>
        <w:t>CLAUSULA GATILLO</w:t>
      </w:r>
      <w:r w:rsidR="001B4BD5" w:rsidRPr="00454562">
        <w:rPr>
          <w:rFonts w:ascii="Times New Roman" w:eastAsia="Times New Roman" w:hAnsi="Times New Roman" w:cs="Arial"/>
          <w:color w:val="000000"/>
          <w:sz w:val="24"/>
          <w:szCs w:val="24"/>
          <w:lang w:eastAsia="es-ES"/>
        </w:rPr>
        <w:t>: En caso de que la inflación medida en años</w:t>
      </w:r>
      <w:r w:rsidR="00051F69">
        <w:rPr>
          <w:rFonts w:ascii="Times New Roman" w:eastAsia="Times New Roman" w:hAnsi="Times New Roman" w:cs="Arial"/>
          <w:color w:val="000000"/>
          <w:sz w:val="24"/>
          <w:szCs w:val="24"/>
          <w:lang w:eastAsia="es-ES"/>
        </w:rPr>
        <w:t xml:space="preserve"> móviles supere el 12 %, al mes </w:t>
      </w:r>
      <w:r w:rsidR="001B4BD5" w:rsidRPr="00454562">
        <w:rPr>
          <w:rFonts w:ascii="Times New Roman" w:eastAsia="Times New Roman" w:hAnsi="Times New Roman" w:cs="Arial"/>
          <w:color w:val="000000"/>
          <w:sz w:val="24"/>
          <w:szCs w:val="24"/>
          <w:lang w:eastAsia="es-ES"/>
        </w:rPr>
        <w:t>siguiente, se aplicará un ajuste salarial por la diferencia entre la inflación acumulada y los ajustes salariales otorgados</w:t>
      </w:r>
    </w:p>
    <w:p w:rsidR="00EE7921" w:rsidRPr="00051F69" w:rsidRDefault="006662B7" w:rsidP="00051F69">
      <w:pPr>
        <w:spacing w:line="360" w:lineRule="auto"/>
        <w:jc w:val="both"/>
        <w:rPr>
          <w:rFonts w:ascii="Bitstream Charter" w:eastAsia="Times New Roman" w:hAnsi="Bitstream Charter" w:cs="Arial"/>
          <w:color w:val="000000"/>
          <w:sz w:val="24"/>
          <w:szCs w:val="24"/>
          <w:shd w:val="clear" w:color="auto" w:fill="FFFFFF"/>
        </w:rPr>
      </w:pPr>
      <w:r>
        <w:rPr>
          <w:rFonts w:ascii="Times New Roman" w:eastAsia="Times New Roman" w:hAnsi="Times New Roman" w:cs="Arial"/>
          <w:b/>
          <w:color w:val="000000"/>
          <w:sz w:val="24"/>
          <w:szCs w:val="24"/>
          <w:lang w:eastAsia="es-ES"/>
        </w:rPr>
        <w:t>12</w:t>
      </w:r>
      <w:r w:rsidR="00364BCC" w:rsidRPr="0048146D">
        <w:rPr>
          <w:rFonts w:ascii="Times New Roman" w:eastAsia="Times New Roman" w:hAnsi="Times New Roman" w:cs="Arial"/>
          <w:b/>
          <w:color w:val="000000"/>
          <w:sz w:val="24"/>
          <w:szCs w:val="24"/>
          <w:lang w:eastAsia="es-ES"/>
        </w:rPr>
        <w:t>)</w:t>
      </w:r>
      <w:r w:rsidR="00364BCC" w:rsidRPr="00454562">
        <w:rPr>
          <w:rFonts w:ascii="Times New Roman" w:eastAsia="Times New Roman" w:hAnsi="Times New Roman" w:cs="Arial"/>
          <w:color w:val="000000"/>
          <w:sz w:val="24"/>
          <w:szCs w:val="24"/>
          <w:lang w:eastAsia="es-ES"/>
        </w:rPr>
        <w:t xml:space="preserve"> </w:t>
      </w:r>
      <w:r w:rsidR="00364BCC" w:rsidRPr="0048146D">
        <w:rPr>
          <w:rFonts w:ascii="Times New Roman" w:eastAsia="Times New Roman" w:hAnsi="Times New Roman" w:cs="Arial"/>
          <w:b/>
          <w:color w:val="000000"/>
          <w:sz w:val="24"/>
          <w:szCs w:val="24"/>
          <w:u w:val="single"/>
          <w:lang w:eastAsia="es-ES"/>
        </w:rPr>
        <w:t>EQUIPO DE LLUVIA</w:t>
      </w:r>
      <w:r w:rsidR="00364BCC" w:rsidRPr="00454562">
        <w:rPr>
          <w:rFonts w:ascii="Times New Roman" w:eastAsia="Times New Roman" w:hAnsi="Times New Roman" w:cs="Arial"/>
          <w:color w:val="000000"/>
          <w:sz w:val="24"/>
          <w:szCs w:val="24"/>
          <w:lang w:eastAsia="es-ES"/>
        </w:rPr>
        <w:t xml:space="preserve">: </w:t>
      </w:r>
      <w:r w:rsidR="00364BCC" w:rsidRPr="00EE7921">
        <w:rPr>
          <w:rFonts w:ascii="Times New Roman" w:eastAsia="Times New Roman" w:hAnsi="Times New Roman" w:cs="Arial"/>
          <w:b/>
          <w:bCs/>
          <w:color w:val="000000"/>
          <w:sz w:val="24"/>
          <w:szCs w:val="24"/>
          <w:lang w:eastAsia="es-ES"/>
        </w:rPr>
        <w:t>Los</w:t>
      </w:r>
      <w:r w:rsidR="00364BCC" w:rsidRPr="00EE7921">
        <w:rPr>
          <w:rFonts w:ascii="Times New Roman" w:eastAsia="Times New Roman" w:hAnsi="Times New Roman" w:cs="Arial"/>
          <w:color w:val="000000"/>
          <w:sz w:val="24"/>
          <w:szCs w:val="24"/>
          <w:lang w:eastAsia="es-ES"/>
        </w:rPr>
        <w:t xml:space="preserve"> trabajadores que se desempeñen como Mandaderos dependientes</w:t>
      </w:r>
      <w:r>
        <w:rPr>
          <w:rFonts w:ascii="Times New Roman" w:eastAsia="Times New Roman" w:hAnsi="Times New Roman" w:cs="Arial"/>
          <w:color w:val="000000"/>
          <w:sz w:val="24"/>
          <w:szCs w:val="24"/>
          <w:lang w:eastAsia="es-ES"/>
        </w:rPr>
        <w:t xml:space="preserve"> del sector</w:t>
      </w:r>
      <w:r w:rsidR="00364BCC" w:rsidRPr="00EE7921">
        <w:rPr>
          <w:rFonts w:ascii="Times New Roman" w:eastAsia="Times New Roman" w:hAnsi="Times New Roman" w:cs="Arial"/>
          <w:color w:val="000000"/>
          <w:sz w:val="24"/>
          <w:szCs w:val="24"/>
          <w:lang w:eastAsia="es-ES"/>
        </w:rPr>
        <w:t xml:space="preserve">, tendrán derecho a un equipo de lluvia compuesto por: 1 </w:t>
      </w:r>
      <w:proofErr w:type="spellStart"/>
      <w:r w:rsidR="00364BCC" w:rsidRPr="00EE7921">
        <w:rPr>
          <w:rFonts w:ascii="Times New Roman" w:eastAsia="Times New Roman" w:hAnsi="Times New Roman" w:cs="Arial"/>
          <w:color w:val="000000"/>
          <w:sz w:val="24"/>
          <w:szCs w:val="24"/>
          <w:lang w:eastAsia="es-ES"/>
        </w:rPr>
        <w:t>pilot</w:t>
      </w:r>
      <w:proofErr w:type="spellEnd"/>
      <w:r w:rsidR="00364BCC" w:rsidRPr="00EE7921">
        <w:rPr>
          <w:rFonts w:ascii="Times New Roman" w:eastAsia="Times New Roman" w:hAnsi="Times New Roman" w:cs="Arial"/>
          <w:color w:val="000000"/>
          <w:sz w:val="24"/>
          <w:szCs w:val="24"/>
          <w:lang w:eastAsia="es-ES"/>
        </w:rPr>
        <w:t>,</w:t>
      </w:r>
      <w:r w:rsidR="00364BCC">
        <w:rPr>
          <w:rFonts w:ascii="Times New Roman" w:eastAsia="Times New Roman" w:hAnsi="Times New Roman" w:cs="Arial"/>
          <w:color w:val="000000"/>
          <w:sz w:val="24"/>
          <w:szCs w:val="24"/>
          <w:lang w:eastAsia="es-ES"/>
        </w:rPr>
        <w:t xml:space="preserve"> </w:t>
      </w:r>
      <w:r w:rsidR="00364BCC" w:rsidRPr="00EE7921">
        <w:rPr>
          <w:rFonts w:ascii="Times New Roman" w:eastAsia="Times New Roman" w:hAnsi="Times New Roman" w:cs="Arial"/>
          <w:color w:val="000000"/>
          <w:sz w:val="24"/>
          <w:szCs w:val="24"/>
          <w:lang w:eastAsia="es-ES"/>
        </w:rPr>
        <w:t xml:space="preserve">botas de lluvia y pantalón adecuado, de calidad tal que cumpla con la finalidad del elemento de protección. </w:t>
      </w:r>
      <w:r w:rsidR="00EE7921" w:rsidRPr="00EE7921">
        <w:rPr>
          <w:rFonts w:ascii="Times New Roman" w:eastAsia="Times New Roman" w:hAnsi="Times New Roman" w:cs="Arial"/>
          <w:color w:val="000000"/>
          <w:sz w:val="24"/>
          <w:szCs w:val="24"/>
          <w:lang w:eastAsia="es-ES"/>
        </w:rPr>
        <w:t>Dicho equipo se entregará hasta el 30 de abril de cada año. En caso de egreso del trabajador deberá devolver dicho equipo.</w:t>
      </w:r>
    </w:p>
    <w:p w:rsidR="00EE7921" w:rsidRPr="00EE7921" w:rsidRDefault="006662B7" w:rsidP="00EE7921">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Pr>
          <w:rFonts w:ascii="Times New Roman" w:eastAsia="Times New Roman" w:hAnsi="Times New Roman" w:cs="Arial"/>
          <w:b/>
          <w:color w:val="000000"/>
          <w:sz w:val="24"/>
          <w:szCs w:val="24"/>
          <w:u w:val="single"/>
          <w:lang w:eastAsia="es-ES"/>
        </w:rPr>
        <w:t>13</w:t>
      </w:r>
      <w:r w:rsidR="00454562" w:rsidRPr="0048146D">
        <w:rPr>
          <w:rFonts w:ascii="Times New Roman" w:eastAsia="Times New Roman" w:hAnsi="Times New Roman" w:cs="Arial"/>
          <w:b/>
          <w:color w:val="000000"/>
          <w:sz w:val="24"/>
          <w:szCs w:val="24"/>
          <w:u w:val="single"/>
          <w:lang w:eastAsia="es-ES"/>
        </w:rPr>
        <w:t>) REINTEGRO SOA</w:t>
      </w:r>
      <w:r w:rsidR="00454562" w:rsidRPr="00454562">
        <w:rPr>
          <w:rFonts w:ascii="Times New Roman" w:eastAsia="Times New Roman" w:hAnsi="Times New Roman" w:cs="Arial"/>
          <w:color w:val="000000"/>
          <w:sz w:val="24"/>
          <w:szCs w:val="24"/>
          <w:lang w:eastAsia="es-ES"/>
        </w:rPr>
        <w:t>:</w:t>
      </w:r>
      <w:r w:rsidR="00364BCC" w:rsidRPr="00454562">
        <w:rPr>
          <w:rFonts w:ascii="Times New Roman" w:eastAsia="Times New Roman" w:hAnsi="Times New Roman" w:cs="Arial"/>
          <w:color w:val="000000"/>
          <w:sz w:val="24"/>
          <w:szCs w:val="24"/>
          <w:lang w:eastAsia="es-ES"/>
        </w:rPr>
        <w:t> </w:t>
      </w:r>
      <w:r w:rsidR="00364BCC" w:rsidRPr="00EE7921">
        <w:rPr>
          <w:rFonts w:ascii="Times New Roman" w:eastAsia="Times New Roman" w:hAnsi="Times New Roman" w:cs="Arial"/>
          <w:b/>
          <w:bCs/>
          <w:color w:val="000000"/>
          <w:sz w:val="24"/>
          <w:szCs w:val="24"/>
          <w:lang w:eastAsia="es-ES"/>
        </w:rPr>
        <w:t>Para</w:t>
      </w:r>
      <w:r w:rsidR="00EE7921" w:rsidRPr="00EE7921">
        <w:rPr>
          <w:rFonts w:ascii="Times New Roman" w:eastAsia="Times New Roman" w:hAnsi="Times New Roman" w:cs="Arial"/>
          <w:color w:val="000000"/>
          <w:sz w:val="24"/>
          <w:szCs w:val="24"/>
          <w:lang w:eastAsia="es-ES"/>
        </w:rPr>
        <w:t xml:space="preserve"> aquellos repartidores dependientes</w:t>
      </w:r>
      <w:r>
        <w:rPr>
          <w:rFonts w:ascii="Times New Roman" w:eastAsia="Times New Roman" w:hAnsi="Times New Roman" w:cs="Arial"/>
          <w:color w:val="000000"/>
          <w:sz w:val="24"/>
          <w:szCs w:val="24"/>
          <w:lang w:eastAsia="es-ES"/>
        </w:rPr>
        <w:t xml:space="preserve"> del sector, </w:t>
      </w:r>
      <w:r w:rsidR="00EE7921" w:rsidRPr="00EE7921">
        <w:rPr>
          <w:rFonts w:ascii="Times New Roman" w:eastAsia="Times New Roman" w:hAnsi="Times New Roman" w:cs="Arial"/>
          <w:color w:val="000000"/>
          <w:sz w:val="24"/>
          <w:szCs w:val="24"/>
          <w:lang w:eastAsia="es-ES"/>
        </w:rPr>
        <w:t xml:space="preserve">con un mínimo de un año de antigüedad en la empresa en la que se desempeñen, se acuerda reintegrarles por concepto de Seguro de Moto del </w:t>
      </w:r>
      <w:r w:rsidR="00364BCC" w:rsidRPr="00EE7921">
        <w:rPr>
          <w:rFonts w:ascii="Times New Roman" w:eastAsia="Times New Roman" w:hAnsi="Times New Roman" w:cs="Arial"/>
          <w:color w:val="000000"/>
          <w:sz w:val="24"/>
          <w:szCs w:val="24"/>
          <w:lang w:eastAsia="es-ES"/>
        </w:rPr>
        <w:t>vehículo</w:t>
      </w:r>
      <w:r w:rsidR="00EE7921" w:rsidRPr="00EE7921">
        <w:rPr>
          <w:rFonts w:ascii="Times New Roman" w:eastAsia="Times New Roman" w:hAnsi="Times New Roman" w:cs="Arial"/>
          <w:color w:val="000000"/>
          <w:sz w:val="24"/>
          <w:szCs w:val="24"/>
          <w:lang w:eastAsia="es-ES"/>
        </w:rPr>
        <w:t xml:space="preserve"> propio que utilice efectivamente para desempeñar tareas en la empresa, y contra la presentación del recibo correspondiente, la suma una partida </w:t>
      </w:r>
      <w:r w:rsidR="00EE7921" w:rsidRPr="006662B7">
        <w:rPr>
          <w:rFonts w:ascii="Times New Roman" w:eastAsia="Times New Roman" w:hAnsi="Times New Roman" w:cs="Arial"/>
          <w:color w:val="000000"/>
          <w:sz w:val="24"/>
          <w:szCs w:val="24"/>
          <w:lang w:eastAsia="es-ES"/>
        </w:rPr>
        <w:t>fija de periodicidad anual</w:t>
      </w:r>
      <w:r w:rsidR="00EE7921" w:rsidRPr="00EE7921">
        <w:rPr>
          <w:rFonts w:ascii="Times New Roman" w:eastAsia="Times New Roman" w:hAnsi="Times New Roman" w:cs="Arial"/>
          <w:color w:val="000000"/>
          <w:sz w:val="24"/>
          <w:szCs w:val="24"/>
          <w:lang w:eastAsia="es-ES"/>
        </w:rPr>
        <w:t xml:space="preserve"> de $1000 (mil pesos uruguayos) que se abonará con el sueldo siguiente a la presentación de la documentación requerida. A aquellas empresas que ya </w:t>
      </w:r>
      <w:r w:rsidR="00364BCC" w:rsidRPr="00EE7921">
        <w:rPr>
          <w:rFonts w:ascii="Times New Roman" w:eastAsia="Times New Roman" w:hAnsi="Times New Roman" w:cs="Arial"/>
          <w:color w:val="000000"/>
          <w:sz w:val="24"/>
          <w:szCs w:val="24"/>
          <w:lang w:eastAsia="es-ES"/>
        </w:rPr>
        <w:t>están</w:t>
      </w:r>
      <w:r w:rsidR="009E596F">
        <w:rPr>
          <w:rFonts w:ascii="Times New Roman" w:eastAsia="Times New Roman" w:hAnsi="Times New Roman" w:cs="Arial"/>
          <w:color w:val="000000"/>
          <w:sz w:val="24"/>
          <w:szCs w:val="24"/>
          <w:lang w:eastAsia="es-ES"/>
        </w:rPr>
        <w:t xml:space="preserve"> otorgando similar beneficio o </w:t>
      </w:r>
      <w:r w:rsidR="00EE7921" w:rsidRPr="00EE7921">
        <w:rPr>
          <w:rFonts w:ascii="Times New Roman" w:eastAsia="Times New Roman" w:hAnsi="Times New Roman" w:cs="Arial"/>
          <w:color w:val="000000"/>
          <w:sz w:val="24"/>
          <w:szCs w:val="24"/>
          <w:lang w:eastAsia="es-ES"/>
        </w:rPr>
        <w:t xml:space="preserve">superior en referencia al mismo concepto, no les </w:t>
      </w:r>
      <w:r w:rsidR="00EE7921" w:rsidRPr="00EE7921">
        <w:rPr>
          <w:rFonts w:ascii="Times New Roman" w:eastAsia="Times New Roman" w:hAnsi="Times New Roman" w:cs="Arial" w:hint="eastAsia"/>
          <w:color w:val="000000"/>
          <w:sz w:val="24"/>
          <w:szCs w:val="24"/>
          <w:lang w:eastAsia="es-ES"/>
        </w:rPr>
        <w:t>será</w:t>
      </w:r>
      <w:r w:rsidR="00EE7921" w:rsidRPr="00EE7921">
        <w:rPr>
          <w:rFonts w:ascii="Times New Roman" w:eastAsia="Times New Roman" w:hAnsi="Times New Roman" w:cs="Arial"/>
          <w:color w:val="000000"/>
          <w:sz w:val="24"/>
          <w:szCs w:val="24"/>
          <w:lang w:eastAsia="es-ES"/>
        </w:rPr>
        <w:t xml:space="preserve"> aplicable la partida definida precedentemente, manteniendo </w:t>
      </w:r>
      <w:r w:rsidR="00364BCC" w:rsidRPr="00EE7921">
        <w:rPr>
          <w:rFonts w:ascii="Times New Roman" w:eastAsia="Times New Roman" w:hAnsi="Times New Roman" w:cs="Arial"/>
          <w:color w:val="000000"/>
          <w:sz w:val="24"/>
          <w:szCs w:val="24"/>
          <w:lang w:eastAsia="es-ES"/>
        </w:rPr>
        <w:t>así</w:t>
      </w:r>
      <w:r w:rsidR="00EE7921" w:rsidRPr="00EE7921">
        <w:rPr>
          <w:rFonts w:ascii="Times New Roman" w:eastAsia="Times New Roman" w:hAnsi="Times New Roman" w:cs="Arial"/>
          <w:color w:val="000000"/>
          <w:sz w:val="24"/>
          <w:szCs w:val="24"/>
          <w:lang w:eastAsia="es-ES"/>
        </w:rPr>
        <w:t xml:space="preserve"> las condiciones </w:t>
      </w:r>
      <w:r w:rsidR="00364BCC" w:rsidRPr="00EE7921">
        <w:rPr>
          <w:rFonts w:ascii="Times New Roman" w:eastAsia="Times New Roman" w:hAnsi="Times New Roman" w:cs="Arial"/>
          <w:color w:val="000000"/>
          <w:sz w:val="24"/>
          <w:szCs w:val="24"/>
          <w:lang w:eastAsia="es-ES"/>
        </w:rPr>
        <w:t>más</w:t>
      </w:r>
      <w:r w:rsidR="00EE7921" w:rsidRPr="00EE7921">
        <w:rPr>
          <w:rFonts w:ascii="Times New Roman" w:eastAsia="Times New Roman" w:hAnsi="Times New Roman" w:cs="Arial"/>
          <w:color w:val="000000"/>
          <w:sz w:val="24"/>
          <w:szCs w:val="24"/>
          <w:lang w:eastAsia="es-ES"/>
        </w:rPr>
        <w:t xml:space="preserve"> beneficiosas ya otorgadas al trabajador.</w:t>
      </w:r>
    </w:p>
    <w:p w:rsidR="0048146D" w:rsidRDefault="0048146D" w:rsidP="00092920">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p>
    <w:p w:rsidR="00051F69" w:rsidRDefault="00051F69" w:rsidP="00092920">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p>
    <w:p w:rsidR="00051F69" w:rsidRDefault="00051F69" w:rsidP="00092920">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p>
    <w:p w:rsidR="00051F69" w:rsidRDefault="00051F69" w:rsidP="00092920">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p>
    <w:p w:rsidR="00051F69" w:rsidRDefault="00051F69" w:rsidP="00092920">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p>
    <w:p w:rsidR="00454562" w:rsidRPr="00051F69" w:rsidRDefault="00DD169D" w:rsidP="007617CD">
      <w:pPr>
        <w:pBdr>
          <w:top w:val="single" w:sz="4" w:space="1" w:color="auto"/>
          <w:left w:val="single" w:sz="4" w:space="4" w:color="auto"/>
          <w:bottom w:val="single" w:sz="4" w:space="1" w:color="auto"/>
          <w:right w:val="single" w:sz="4" w:space="4" w:color="auto"/>
        </w:pBdr>
        <w:rPr>
          <w:b/>
          <w:sz w:val="32"/>
          <w:szCs w:val="32"/>
          <w:u w:val="single"/>
        </w:rPr>
      </w:pPr>
      <w:r w:rsidRPr="00051F69">
        <w:rPr>
          <w:b/>
          <w:sz w:val="32"/>
          <w:szCs w:val="32"/>
          <w:u w:val="single"/>
        </w:rPr>
        <w:t>ANEXO 1: REIVINDICACIONES EXIGIDAS POR EL SECTOR TRABAJADOR QUE NO FUERON ACEPTADAS</w:t>
      </w:r>
      <w:r w:rsidR="007617CD" w:rsidRPr="00051F69">
        <w:rPr>
          <w:b/>
          <w:sz w:val="32"/>
          <w:szCs w:val="32"/>
          <w:u w:val="single"/>
        </w:rPr>
        <w:t xml:space="preserve"> POR EL SECTOR EMPLEADOR</w:t>
      </w:r>
      <w:r w:rsidRPr="00051F69">
        <w:rPr>
          <w:b/>
          <w:sz w:val="32"/>
          <w:szCs w:val="32"/>
          <w:u w:val="single"/>
        </w:rPr>
        <w:t xml:space="preserve">: </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SALARIO MINIMO $ 24.000</w:t>
      </w:r>
      <w:r w:rsidRPr="00DD169D">
        <w:rPr>
          <w:sz w:val="24"/>
          <w:szCs w:val="24"/>
        </w:rPr>
        <w:t xml:space="preserve"> </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SALARIOS DIFERENCIALES SUPERIORES PARA DEPENDIENTES DE “CADENAS”</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AUMENTO DE LA PRIMA POR ANTIGÜEDAD</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TUNICA PARA LOS MANDADEROS</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DIA DE DESCANSO Y TURNOS COMPLEMENTO SOBRE LO ESTABLECIDO LEGALMENTE</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SEGURO VEHICULO TOTALMENTE DE CARGO DE LA EMPRESA</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AUMENTOS ANUALES Y NO SEMESTRALES</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 xml:space="preserve">AUXILIO MECANICO </w:t>
      </w:r>
      <w:r w:rsidR="00DE75D3">
        <w:rPr>
          <w:sz w:val="24"/>
          <w:szCs w:val="24"/>
        </w:rPr>
        <w:t xml:space="preserve">VEHICULO MANDADERO </w:t>
      </w:r>
      <w:r>
        <w:rPr>
          <w:sz w:val="24"/>
          <w:szCs w:val="24"/>
        </w:rPr>
        <w:t>PAGO POR LA EMPRESA</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AUMENTO DEL QUEBRANTO PARA MANDADEROS</w:t>
      </w:r>
    </w:p>
    <w:p w:rsidR="00DD169D" w:rsidRDefault="00DD169D" w:rsidP="007617CD">
      <w:pPr>
        <w:pBdr>
          <w:top w:val="single" w:sz="4" w:space="1" w:color="auto"/>
          <w:left w:val="single" w:sz="4" w:space="4" w:color="auto"/>
          <w:bottom w:val="single" w:sz="4" w:space="1" w:color="auto"/>
          <w:right w:val="single" w:sz="4" w:space="4" w:color="auto"/>
        </w:pBdr>
        <w:rPr>
          <w:sz w:val="24"/>
          <w:szCs w:val="24"/>
        </w:rPr>
      </w:pPr>
      <w:r>
        <w:rPr>
          <w:sz w:val="24"/>
          <w:szCs w:val="24"/>
        </w:rPr>
        <w:t>CERTIFICACION MEDICA 3 DIAS PAGOS POR LA EMPRESA</w:t>
      </w:r>
    </w:p>
    <w:p w:rsidR="0048146D" w:rsidRDefault="0048146D">
      <w:pPr>
        <w:rPr>
          <w:sz w:val="24"/>
          <w:szCs w:val="24"/>
        </w:rPr>
      </w:pPr>
    </w:p>
    <w:p w:rsidR="00092920" w:rsidRPr="00092920" w:rsidRDefault="006662B7" w:rsidP="00092920">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ANEXO 2</w:t>
      </w:r>
    </w:p>
    <w:p w:rsidR="00092920" w:rsidRPr="0048146D" w:rsidRDefault="006662B7" w:rsidP="0048146D">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AUMENTOS NOMINALES Y COMPLEMENTO A</w:t>
      </w:r>
      <w:r w:rsidR="00092920" w:rsidRPr="00092920">
        <w:rPr>
          <w:b/>
          <w:sz w:val="32"/>
          <w:szCs w:val="32"/>
        </w:rPr>
        <w:t xml:space="preserve"> SUMERGIDOS</w:t>
      </w:r>
    </w:p>
    <w:p w:rsidR="00B70F1A" w:rsidRDefault="00092920">
      <w:pPr>
        <w:rPr>
          <w:sz w:val="24"/>
          <w:szCs w:val="24"/>
        </w:rPr>
      </w:pPr>
      <w:r w:rsidRPr="00092920">
        <w:rPr>
          <w:noProof/>
          <w:sz w:val="24"/>
          <w:szCs w:val="24"/>
          <w:lang w:val="es-UY" w:eastAsia="es-UY"/>
        </w:rPr>
        <w:drawing>
          <wp:inline distT="0" distB="0" distL="0" distR="0">
            <wp:extent cx="6234901" cy="3413760"/>
            <wp:effectExtent l="1905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234901" cy="3413760"/>
                    </a:xfrm>
                    <a:prstGeom prst="rect">
                      <a:avLst/>
                    </a:prstGeom>
                    <a:noFill/>
                  </pic:spPr>
                </pic:pic>
              </a:graphicData>
            </a:graphic>
          </wp:inline>
        </w:drawing>
      </w:r>
    </w:p>
    <w:p w:rsidR="000C5654" w:rsidRDefault="000C5654">
      <w:pPr>
        <w:rPr>
          <w:sz w:val="24"/>
          <w:szCs w:val="24"/>
        </w:rPr>
      </w:pPr>
    </w:p>
    <w:p w:rsidR="00BE6B48" w:rsidRDefault="00BE6B48" w:rsidP="000C5654">
      <w:pPr>
        <w:rPr>
          <w:sz w:val="24"/>
          <w:szCs w:val="24"/>
        </w:rPr>
      </w:pPr>
    </w:p>
    <w:p w:rsidR="000C5654" w:rsidRPr="00BE6B48" w:rsidRDefault="00BE6B48" w:rsidP="00BE6B48">
      <w:pPr>
        <w:pBdr>
          <w:top w:val="single" w:sz="4" w:space="1" w:color="auto"/>
          <w:left w:val="single" w:sz="4" w:space="4" w:color="auto"/>
          <w:bottom w:val="single" w:sz="4" w:space="1" w:color="auto"/>
          <w:right w:val="single" w:sz="4" w:space="4" w:color="auto"/>
        </w:pBdr>
        <w:rPr>
          <w:b/>
          <w:sz w:val="32"/>
          <w:szCs w:val="32"/>
        </w:rPr>
      </w:pPr>
      <w:r>
        <w:rPr>
          <w:b/>
          <w:sz w:val="32"/>
          <w:szCs w:val="32"/>
        </w:rPr>
        <w:t>ANEXO 3</w:t>
      </w:r>
      <w:r w:rsidR="000C5654" w:rsidRPr="00BE6B48">
        <w:rPr>
          <w:b/>
          <w:sz w:val="32"/>
          <w:szCs w:val="32"/>
        </w:rPr>
        <w:t xml:space="preserve"> TABLA DE AUMENTOS PORCENTUALES PARA TODO EL PERIODO DEL CONVENIO </w:t>
      </w:r>
    </w:p>
    <w:p w:rsidR="00BE6B48" w:rsidRPr="00AF0182" w:rsidRDefault="00BE6B48" w:rsidP="000C5654">
      <w:pPr>
        <w:rPr>
          <w:sz w:val="24"/>
          <w:szCs w:val="24"/>
        </w:rPr>
      </w:pPr>
    </w:p>
    <w:tbl>
      <w:tblPr>
        <w:tblW w:w="9207" w:type="dxa"/>
        <w:tblInd w:w="65" w:type="dxa"/>
        <w:tblCellMar>
          <w:left w:w="70" w:type="dxa"/>
          <w:right w:w="70" w:type="dxa"/>
        </w:tblCellMar>
        <w:tblLook w:val="04A0" w:firstRow="1" w:lastRow="0" w:firstColumn="1" w:lastColumn="0" w:noHBand="0" w:noVBand="1"/>
      </w:tblPr>
      <w:tblGrid>
        <w:gridCol w:w="1933"/>
        <w:gridCol w:w="1653"/>
        <w:gridCol w:w="5621"/>
      </w:tblGrid>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Primer ajuste</w:t>
            </w:r>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1/7/2018</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17100</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3,75+1</w:t>
            </w:r>
            <w:r>
              <w:rPr>
                <w:rFonts w:ascii="Calibri" w:eastAsia="Times New Roman" w:hAnsi="Calibri" w:cs="Calibri"/>
                <w:color w:val="000000"/>
                <w:lang w:eastAsia="es-ES"/>
              </w:rPr>
              <w:t xml:space="preserve">    sumergido y sector medio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EA18BA">
              <w:rPr>
                <w:rFonts w:ascii="Calibri" w:eastAsia="Times New Roman" w:hAnsi="Calibri" w:cs="Calibri"/>
                <w:color w:val="000000"/>
                <w:lang w:eastAsia="es-ES"/>
              </w:rPr>
              <w:t>17101</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19500</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3,75</w:t>
            </w:r>
            <w:r>
              <w:rPr>
                <w:rFonts w:ascii="Calibri" w:eastAsia="Times New Roman" w:hAnsi="Calibri" w:cs="Calibri"/>
                <w:color w:val="000000"/>
                <w:lang w:eastAsia="es-ES"/>
              </w:rPr>
              <w:t xml:space="preserve">                               sector medio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19501</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3,25</w:t>
            </w:r>
            <w:r>
              <w:rPr>
                <w:rFonts w:ascii="Calibri" w:eastAsia="Times New Roman" w:hAnsi="Calibri" w:cs="Calibri"/>
                <w:color w:val="000000"/>
                <w:lang w:eastAsia="es-ES"/>
              </w:rPr>
              <w:t xml:space="preserve">                  sector en problemas </w:t>
            </w:r>
          </w:p>
        </w:tc>
      </w:tr>
      <w:tr w:rsidR="000C5654" w:rsidRPr="00EA18BA" w:rsidTr="00BE6B48">
        <w:trPr>
          <w:trHeight w:val="292"/>
        </w:trPr>
        <w:tc>
          <w:tcPr>
            <w:tcW w:w="193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165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5621"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r>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Segundo</w:t>
            </w:r>
            <w:r w:rsidRPr="00EA18BA">
              <w:rPr>
                <w:rFonts w:ascii="Calibri" w:eastAsia="Times New Roman" w:hAnsi="Calibri" w:cs="Calibri"/>
                <w:color w:val="000000"/>
                <w:lang w:eastAsia="es-ES"/>
              </w:rPr>
              <w:t>ajuste</w:t>
            </w:r>
            <w:proofErr w:type="spellEnd"/>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1/1/2019</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19098</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3,75+1</w:t>
            </w:r>
            <w:r>
              <w:rPr>
                <w:rFonts w:ascii="Calibri" w:eastAsia="Times New Roman" w:hAnsi="Calibri" w:cs="Calibri"/>
                <w:color w:val="000000"/>
                <w:lang w:eastAsia="es-ES"/>
              </w:rPr>
              <w:t xml:space="preserve">   sumergido y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19099</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20231</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3,75</w:t>
            </w:r>
            <w:r>
              <w:rPr>
                <w:rFonts w:ascii="Calibri" w:eastAsia="Times New Roman" w:hAnsi="Calibri" w:cs="Calibri"/>
                <w:color w:val="000000"/>
                <w:lang w:eastAsia="es-ES"/>
              </w:rPr>
              <w:t xml:space="preserve">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20232</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3,25</w:t>
            </w:r>
            <w:r>
              <w:rPr>
                <w:rFonts w:ascii="Calibri" w:eastAsia="Times New Roman" w:hAnsi="Calibri" w:cs="Calibri"/>
                <w:color w:val="000000"/>
                <w:lang w:eastAsia="es-ES"/>
              </w:rPr>
              <w:t xml:space="preserve">                  sector en problemas</w:t>
            </w:r>
          </w:p>
        </w:tc>
      </w:tr>
      <w:tr w:rsidR="000C5654" w:rsidRPr="00EA18BA" w:rsidTr="00BE6B48">
        <w:trPr>
          <w:trHeight w:val="292"/>
        </w:trPr>
        <w:tc>
          <w:tcPr>
            <w:tcW w:w="193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165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5621"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r>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Tercer ajuste</w:t>
            </w:r>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1/7/2019</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19925</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3,5+1</w:t>
            </w:r>
            <w:r>
              <w:rPr>
                <w:rFonts w:ascii="Calibri" w:eastAsia="Times New Roman" w:hAnsi="Calibri" w:cs="Calibri"/>
                <w:color w:val="000000"/>
                <w:lang w:eastAsia="es-ES"/>
              </w:rPr>
              <w:t xml:space="preserve">     sumergido y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19926</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20990</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3,5</w:t>
            </w:r>
            <w:r>
              <w:rPr>
                <w:rFonts w:ascii="Calibri" w:eastAsia="Times New Roman" w:hAnsi="Calibri" w:cs="Calibri"/>
                <w:color w:val="000000"/>
                <w:lang w:eastAsia="es-ES"/>
              </w:rPr>
              <w:t xml:space="preserve">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20991</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w:t>
            </w:r>
            <w:r>
              <w:rPr>
                <w:rFonts w:ascii="Calibri" w:eastAsia="Times New Roman" w:hAnsi="Calibri" w:cs="Calibri"/>
                <w:color w:val="000000"/>
                <w:lang w:eastAsia="es-ES"/>
              </w:rPr>
              <w:t xml:space="preserve">                      sector en problemas</w:t>
            </w:r>
          </w:p>
        </w:tc>
      </w:tr>
      <w:tr w:rsidR="000C5654" w:rsidRPr="00EA18BA" w:rsidTr="00BE6B48">
        <w:trPr>
          <w:gridAfter w:val="2"/>
          <w:wAfter w:w="7274" w:type="dxa"/>
          <w:trHeight w:val="292"/>
        </w:trPr>
        <w:tc>
          <w:tcPr>
            <w:tcW w:w="193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r>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Cuarto ajuste</w:t>
            </w:r>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1/1/2020</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20753</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3,5+1</w:t>
            </w:r>
            <w:r>
              <w:rPr>
                <w:rFonts w:ascii="Calibri" w:eastAsia="Times New Roman" w:hAnsi="Calibri" w:cs="Calibri"/>
                <w:color w:val="000000"/>
                <w:lang w:eastAsia="es-ES"/>
              </w:rPr>
              <w:t xml:space="preserve">       sumergido y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20754</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21724</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3,5</w:t>
            </w:r>
            <w:r>
              <w:rPr>
                <w:rFonts w:ascii="Calibri" w:eastAsia="Times New Roman" w:hAnsi="Calibri" w:cs="Calibri"/>
                <w:color w:val="000000"/>
                <w:lang w:eastAsia="es-ES"/>
              </w:rPr>
              <w:t xml:space="preserve">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21725</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w:t>
            </w:r>
            <w:r>
              <w:rPr>
                <w:rFonts w:ascii="Calibri" w:eastAsia="Times New Roman" w:hAnsi="Calibri" w:cs="Calibri"/>
                <w:color w:val="000000"/>
                <w:lang w:eastAsia="es-ES"/>
              </w:rPr>
              <w:t xml:space="preserve">                        sector en problemas</w:t>
            </w:r>
          </w:p>
        </w:tc>
      </w:tr>
      <w:tr w:rsidR="000C5654" w:rsidRPr="00EA18BA" w:rsidTr="00BE6B48">
        <w:trPr>
          <w:trHeight w:val="292"/>
        </w:trPr>
        <w:tc>
          <w:tcPr>
            <w:tcW w:w="193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165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5621"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r>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Quinto ajuste</w:t>
            </w:r>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1/7/2020</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21375</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3+1</w:t>
            </w:r>
            <w:r>
              <w:rPr>
                <w:rFonts w:ascii="Calibri" w:eastAsia="Times New Roman" w:hAnsi="Calibri" w:cs="Calibri"/>
                <w:color w:val="000000"/>
                <w:lang w:eastAsia="es-ES"/>
              </w:rPr>
              <w:t xml:space="preserve">       sumergido y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21376</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2248</w:t>
            </w:r>
            <w:r w:rsidRPr="00EA18BA">
              <w:rPr>
                <w:rFonts w:ascii="Calibri" w:eastAsia="Times New Roman" w:hAnsi="Calibri" w:cs="Calibri"/>
                <w:color w:val="000000"/>
                <w:lang w:eastAsia="es-ES"/>
              </w:rPr>
              <w:t>4</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w:t>
            </w:r>
            <w:r>
              <w:rPr>
                <w:rFonts w:ascii="Calibri" w:eastAsia="Times New Roman" w:hAnsi="Calibri" w:cs="Calibri"/>
                <w:color w:val="000000"/>
                <w:lang w:eastAsia="es-ES"/>
              </w:rPr>
              <w:t xml:space="preserve">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BB3526" w:rsidP="00EC07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2248</w:t>
            </w:r>
            <w:r w:rsidR="000C5654" w:rsidRPr="00EA18BA">
              <w:rPr>
                <w:rFonts w:ascii="Calibri" w:eastAsia="Times New Roman" w:hAnsi="Calibri" w:cs="Calibri"/>
                <w:color w:val="000000"/>
                <w:lang w:eastAsia="es-ES"/>
              </w:rPr>
              <w:t>5</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2,5</w:t>
            </w:r>
            <w:r>
              <w:rPr>
                <w:rFonts w:ascii="Calibri" w:eastAsia="Times New Roman" w:hAnsi="Calibri" w:cs="Calibri"/>
                <w:color w:val="000000"/>
                <w:lang w:eastAsia="es-ES"/>
              </w:rPr>
              <w:t xml:space="preserve">                  sector en problemas</w:t>
            </w:r>
          </w:p>
        </w:tc>
      </w:tr>
    </w:tbl>
    <w:p w:rsidR="000C5654" w:rsidRDefault="000C5654" w:rsidP="000C5654"/>
    <w:p w:rsidR="006662B7" w:rsidRDefault="000C5654">
      <w:pPr>
        <w:rPr>
          <w:sz w:val="24"/>
          <w:szCs w:val="24"/>
        </w:rPr>
      </w:pPr>
      <w:r>
        <w:rPr>
          <w:sz w:val="24"/>
          <w:szCs w:val="24"/>
        </w:rPr>
        <w:t xml:space="preserve">Nota: </w:t>
      </w:r>
      <w:r w:rsidR="006662B7">
        <w:rPr>
          <w:sz w:val="24"/>
          <w:szCs w:val="24"/>
        </w:rPr>
        <w:t>Los valores de las franjas expresadas</w:t>
      </w:r>
      <w:r w:rsidR="00051F69">
        <w:rPr>
          <w:sz w:val="24"/>
          <w:szCs w:val="24"/>
        </w:rPr>
        <w:t xml:space="preserve">, </w:t>
      </w:r>
      <w:r w:rsidR="006662B7">
        <w:rPr>
          <w:sz w:val="24"/>
          <w:szCs w:val="24"/>
        </w:rPr>
        <w:t xml:space="preserve">eventualmente podrían ser </w:t>
      </w:r>
      <w:r w:rsidR="00051F69">
        <w:rPr>
          <w:sz w:val="24"/>
          <w:szCs w:val="24"/>
        </w:rPr>
        <w:t xml:space="preserve">ajustados </w:t>
      </w:r>
      <w:r w:rsidR="006662B7">
        <w:rPr>
          <w:sz w:val="24"/>
          <w:szCs w:val="24"/>
        </w:rPr>
        <w:t>en el caso de c</w:t>
      </w:r>
      <w:r w:rsidR="009E596F">
        <w:rPr>
          <w:sz w:val="24"/>
          <w:szCs w:val="24"/>
        </w:rPr>
        <w:t>orresponder la aplicación de la cláusula</w:t>
      </w:r>
      <w:r w:rsidR="006662B7">
        <w:rPr>
          <w:sz w:val="24"/>
          <w:szCs w:val="24"/>
        </w:rPr>
        <w:t xml:space="preserve"> correctivo, salvaguarda o gatillo</w:t>
      </w:r>
      <w:proofErr w:type="gramStart"/>
      <w:r w:rsidR="00051F69">
        <w:rPr>
          <w:sz w:val="24"/>
          <w:szCs w:val="24"/>
        </w:rPr>
        <w:t>,  si</w:t>
      </w:r>
      <w:proofErr w:type="gramEnd"/>
      <w:r w:rsidR="00051F69">
        <w:rPr>
          <w:sz w:val="24"/>
          <w:szCs w:val="24"/>
        </w:rPr>
        <w:t xml:space="preserve"> se dieran las condiciones pactadas ya comentadas.</w:t>
      </w:r>
    </w:p>
    <w:p w:rsidR="00051F69" w:rsidRPr="004B308C" w:rsidRDefault="004B308C">
      <w:pPr>
        <w:rPr>
          <w:b/>
          <w:sz w:val="24"/>
          <w:szCs w:val="24"/>
        </w:rPr>
      </w:pPr>
      <w:r w:rsidRPr="004B308C">
        <w:rPr>
          <w:b/>
          <w:sz w:val="24"/>
          <w:szCs w:val="24"/>
        </w:rPr>
        <w:t xml:space="preserve">Contador Jorge Suarez                                         </w:t>
      </w:r>
    </w:p>
    <w:p w:rsidR="004B308C" w:rsidRPr="004B308C" w:rsidRDefault="004B308C">
      <w:pPr>
        <w:rPr>
          <w:b/>
          <w:sz w:val="24"/>
          <w:szCs w:val="24"/>
        </w:rPr>
      </w:pPr>
      <w:r w:rsidRPr="004B308C">
        <w:rPr>
          <w:b/>
          <w:sz w:val="24"/>
          <w:szCs w:val="24"/>
        </w:rPr>
        <w:t>Dr. Osvaldo Cestau</w:t>
      </w:r>
    </w:p>
    <w:sectPr w:rsidR="004B308C" w:rsidRPr="004B308C" w:rsidSect="00051F6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E31" w:rsidRDefault="00643E31" w:rsidP="00834709">
      <w:pPr>
        <w:spacing w:after="0" w:line="240" w:lineRule="auto"/>
      </w:pPr>
      <w:r>
        <w:separator/>
      </w:r>
    </w:p>
  </w:endnote>
  <w:endnote w:type="continuationSeparator" w:id="0">
    <w:p w:rsidR="00643E31" w:rsidRDefault="00643E31" w:rsidP="0083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Charter">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09" w:rsidRDefault="00834709">
    <w:pPr>
      <w:pStyle w:val="Piedepgina"/>
      <w:pBdr>
        <w:top w:val="thinThickSmallGap" w:sz="24" w:space="1" w:color="622423" w:themeColor="accent2" w:themeShade="7F"/>
      </w:pBdr>
      <w:rPr>
        <w:rFonts w:asciiTheme="majorHAnsi" w:hAnsiTheme="majorHAnsi"/>
      </w:rPr>
    </w:pPr>
    <w:r>
      <w:rPr>
        <w:rFonts w:asciiTheme="majorHAnsi" w:hAnsiTheme="majorHAnsi"/>
      </w:rPr>
      <w:t xml:space="preserve">Cr. Jorge Suarez </w:t>
    </w:r>
    <w:r w:rsidR="00260B3C">
      <w:rPr>
        <w:rFonts w:asciiTheme="majorHAnsi" w:hAnsiTheme="majorHAnsi"/>
      </w:rPr>
      <w:t>Fernández</w:t>
    </w:r>
    <w:r w:rsidR="00F74E56">
      <w:rPr>
        <w:rFonts w:asciiTheme="majorHAnsi" w:hAnsiTheme="majorHAnsi"/>
      </w:rPr>
      <w:t xml:space="preserve">, </w:t>
    </w:r>
    <w:proofErr w:type="spellStart"/>
    <w:r w:rsidR="00F74E56">
      <w:rPr>
        <w:rFonts w:asciiTheme="majorHAnsi" w:hAnsiTheme="majorHAnsi"/>
      </w:rPr>
      <w:t>Dr</w:t>
    </w:r>
    <w:proofErr w:type="spellEnd"/>
    <w:r w:rsidR="00F74E56">
      <w:rPr>
        <w:rFonts w:asciiTheme="majorHAnsi" w:hAnsiTheme="majorHAnsi"/>
      </w:rPr>
      <w:t xml:space="preserve"> Osvaldo Cestau</w:t>
    </w:r>
    <w:r>
      <w:rPr>
        <w:rFonts w:asciiTheme="majorHAnsi" w:hAnsiTheme="majorHAnsi"/>
      </w:rPr>
      <w:ptab w:relativeTo="margin" w:alignment="right" w:leader="none"/>
    </w:r>
    <w:r>
      <w:rPr>
        <w:rFonts w:asciiTheme="majorHAnsi" w:hAnsiTheme="majorHAnsi"/>
      </w:rPr>
      <w:t xml:space="preserve">Página </w:t>
    </w:r>
    <w:r w:rsidR="009E115A">
      <w:rPr>
        <w:rFonts w:asciiTheme="majorHAnsi" w:hAnsiTheme="majorHAnsi"/>
        <w:noProof/>
      </w:rPr>
      <w:fldChar w:fldCharType="begin"/>
    </w:r>
    <w:r w:rsidR="009E115A">
      <w:rPr>
        <w:rFonts w:asciiTheme="majorHAnsi" w:hAnsiTheme="majorHAnsi"/>
        <w:noProof/>
      </w:rPr>
      <w:instrText xml:space="preserve"> PAGE   \* MERGEFORMAT </w:instrText>
    </w:r>
    <w:r w:rsidR="009E115A">
      <w:rPr>
        <w:rFonts w:asciiTheme="majorHAnsi" w:hAnsiTheme="majorHAnsi"/>
        <w:noProof/>
      </w:rPr>
      <w:fldChar w:fldCharType="separate"/>
    </w:r>
    <w:r w:rsidR="009E596F">
      <w:rPr>
        <w:rFonts w:asciiTheme="majorHAnsi" w:hAnsiTheme="majorHAnsi"/>
        <w:noProof/>
      </w:rPr>
      <w:t>4</w:t>
    </w:r>
    <w:r w:rsidR="009E115A">
      <w:rPr>
        <w:rFonts w:asciiTheme="majorHAnsi" w:hAnsiTheme="majorHAnsi"/>
        <w:noProof/>
      </w:rPr>
      <w:fldChar w:fldCharType="end"/>
    </w:r>
  </w:p>
  <w:p w:rsidR="00834709" w:rsidRDefault="008347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E31" w:rsidRDefault="00643E31" w:rsidP="00834709">
      <w:pPr>
        <w:spacing w:after="0" w:line="240" w:lineRule="auto"/>
      </w:pPr>
      <w:r>
        <w:separator/>
      </w:r>
    </w:p>
  </w:footnote>
  <w:footnote w:type="continuationSeparator" w:id="0">
    <w:p w:rsidR="00643E31" w:rsidRDefault="00643E31" w:rsidP="00834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62"/>
    <w:rsid w:val="00034DF0"/>
    <w:rsid w:val="00051F69"/>
    <w:rsid w:val="00060AB8"/>
    <w:rsid w:val="0006263D"/>
    <w:rsid w:val="00087E59"/>
    <w:rsid w:val="00092920"/>
    <w:rsid w:val="000C5654"/>
    <w:rsid w:val="001A7F25"/>
    <w:rsid w:val="001B4BD5"/>
    <w:rsid w:val="00260B3C"/>
    <w:rsid w:val="002A62E2"/>
    <w:rsid w:val="003317AE"/>
    <w:rsid w:val="00356A7D"/>
    <w:rsid w:val="00364BCC"/>
    <w:rsid w:val="00373477"/>
    <w:rsid w:val="00376106"/>
    <w:rsid w:val="003E6D08"/>
    <w:rsid w:val="003F5E78"/>
    <w:rsid w:val="004413B6"/>
    <w:rsid w:val="00454562"/>
    <w:rsid w:val="0048146D"/>
    <w:rsid w:val="004B308C"/>
    <w:rsid w:val="005159B6"/>
    <w:rsid w:val="00561888"/>
    <w:rsid w:val="005B18D7"/>
    <w:rsid w:val="00643E31"/>
    <w:rsid w:val="006662B7"/>
    <w:rsid w:val="007568DA"/>
    <w:rsid w:val="007617CD"/>
    <w:rsid w:val="00795BF7"/>
    <w:rsid w:val="00802F3E"/>
    <w:rsid w:val="00834709"/>
    <w:rsid w:val="00837CE4"/>
    <w:rsid w:val="00866373"/>
    <w:rsid w:val="00870676"/>
    <w:rsid w:val="009363A9"/>
    <w:rsid w:val="00982C31"/>
    <w:rsid w:val="009A47DC"/>
    <w:rsid w:val="009C2407"/>
    <w:rsid w:val="009C37F9"/>
    <w:rsid w:val="009E115A"/>
    <w:rsid w:val="009E596F"/>
    <w:rsid w:val="00A40BF4"/>
    <w:rsid w:val="00AF596E"/>
    <w:rsid w:val="00B231D0"/>
    <w:rsid w:val="00B45CF3"/>
    <w:rsid w:val="00B641EB"/>
    <w:rsid w:val="00B70F1A"/>
    <w:rsid w:val="00BB3526"/>
    <w:rsid w:val="00BE6B48"/>
    <w:rsid w:val="00C831C4"/>
    <w:rsid w:val="00CA26D9"/>
    <w:rsid w:val="00CD4F94"/>
    <w:rsid w:val="00D06CEF"/>
    <w:rsid w:val="00D33E07"/>
    <w:rsid w:val="00DA3452"/>
    <w:rsid w:val="00DD169D"/>
    <w:rsid w:val="00DE1BD8"/>
    <w:rsid w:val="00DE75D3"/>
    <w:rsid w:val="00EC65C0"/>
    <w:rsid w:val="00EE7921"/>
    <w:rsid w:val="00F74E56"/>
    <w:rsid w:val="00F80454"/>
    <w:rsid w:val="00FB6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F07B1-1BD8-442E-B5FC-4F6DA131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45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E75D3"/>
    <w:pPr>
      <w:ind w:left="720"/>
      <w:contextualSpacing/>
    </w:pPr>
  </w:style>
  <w:style w:type="paragraph" w:styleId="Textodeglobo">
    <w:name w:val="Balloon Text"/>
    <w:basedOn w:val="Normal"/>
    <w:link w:val="TextodegloboCar"/>
    <w:uiPriority w:val="99"/>
    <w:semiHidden/>
    <w:unhideWhenUsed/>
    <w:rsid w:val="003761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106"/>
    <w:rPr>
      <w:rFonts w:ascii="Tahoma" w:hAnsi="Tahoma" w:cs="Tahoma"/>
      <w:sz w:val="16"/>
      <w:szCs w:val="16"/>
    </w:rPr>
  </w:style>
  <w:style w:type="paragraph" w:styleId="Encabezado">
    <w:name w:val="header"/>
    <w:basedOn w:val="Normal"/>
    <w:link w:val="EncabezadoCar"/>
    <w:uiPriority w:val="99"/>
    <w:semiHidden/>
    <w:unhideWhenUsed/>
    <w:rsid w:val="00834709"/>
    <w:pPr>
      <w:tabs>
        <w:tab w:val="center" w:pos="4153"/>
        <w:tab w:val="right" w:pos="8306"/>
      </w:tabs>
      <w:spacing w:after="0" w:line="240" w:lineRule="auto"/>
    </w:pPr>
  </w:style>
  <w:style w:type="character" w:customStyle="1" w:styleId="EncabezadoCar">
    <w:name w:val="Encabezado Car"/>
    <w:basedOn w:val="Fuentedeprrafopredeter"/>
    <w:link w:val="Encabezado"/>
    <w:uiPriority w:val="99"/>
    <w:semiHidden/>
    <w:rsid w:val="00834709"/>
  </w:style>
  <w:style w:type="paragraph" w:styleId="Piedepgina">
    <w:name w:val="footer"/>
    <w:basedOn w:val="Normal"/>
    <w:link w:val="PiedepginaCar"/>
    <w:uiPriority w:val="99"/>
    <w:unhideWhenUsed/>
    <w:rsid w:val="00834709"/>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83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1102</Words>
  <Characters>6066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Nico</cp:lastModifiedBy>
  <cp:revision>6</cp:revision>
  <cp:lastPrinted>2018-10-30T20:30:00Z</cp:lastPrinted>
  <dcterms:created xsi:type="dcterms:W3CDTF">2018-11-09T13:33:00Z</dcterms:created>
  <dcterms:modified xsi:type="dcterms:W3CDTF">2018-11-09T15:49:00Z</dcterms:modified>
</cp:coreProperties>
</file>